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90F33" w:rsidRPr="00690F33" w:rsidRDefault="00690F33" w:rsidP="00690F33">
      <w:pPr>
        <w:rPr>
          <w:b/>
          <w:bCs/>
        </w:rPr>
      </w:pPr>
      <w:r w:rsidRPr="00690F33">
        <w:rPr>
          <w:b/>
          <w:bCs/>
        </w:rPr>
        <w:t>COPA SUDAMERICANA | LA FINAL</w:t>
      </w:r>
    </w:p>
    <w:p w:rsidR="00690F33" w:rsidRPr="00690F33" w:rsidRDefault="00690F33" w:rsidP="00690F33">
      <w:r w:rsidRPr="00690F33">
        <w:rPr>
          <w:b/>
          <w:bCs/>
        </w:rPr>
        <w:t>Sede TDB – Asunción, Paraguay</w:t>
      </w:r>
      <w:r w:rsidRPr="00690F33">
        <w:br/>
      </w:r>
      <w:r w:rsidRPr="00690F33">
        <w:rPr>
          <w:b/>
          <w:bCs/>
        </w:rPr>
        <w:t>22 de noviembre 2025</w:t>
      </w:r>
      <w:r w:rsidRPr="00690F33">
        <w:br/>
      </w:r>
      <w:r w:rsidRPr="00690F33">
        <w:rPr>
          <w:i/>
          <w:iCs/>
        </w:rPr>
        <w:t>La fecha y sede de los partidos puede variar, Turar S.A. no es responsable por los cambios que pueda realizar la organización.</w:t>
      </w:r>
    </w:p>
    <w:p w:rsidR="00A539B7" w:rsidRDefault="00A539B7" w:rsidP="00690F33"/>
    <w:p w:rsidR="00690F33" w:rsidRPr="00690F33" w:rsidRDefault="00690F33" w:rsidP="00690F33">
      <w:r w:rsidRPr="00690F33">
        <w:t>Asunción, la capital de Paraguay, ofrece una mezcla de cultura, historia y modernidad.</w:t>
      </w:r>
      <w:r w:rsidRPr="00690F33">
        <w:br/>
        <w:t>El estadio sede de la Final de la Copa Sudamericana será el escenario de un evento único para los fanáticos del fútbol sudamericano.</w:t>
      </w:r>
    </w:p>
    <w:p w:rsidR="00690F33" w:rsidRPr="00690F33" w:rsidRDefault="00690F33" w:rsidP="00690F33">
      <w:r w:rsidRPr="00690F33">
        <w:pict>
          <v:rect id="_x0000_i1106" style="width:0;height:1.5pt" o:hralign="center" o:hrstd="t" o:hr="t" fillcolor="#a0a0a0" stroked="f"/>
        </w:pict>
      </w:r>
    </w:p>
    <w:p w:rsidR="00690F33" w:rsidRPr="00690F33" w:rsidRDefault="00690F33" w:rsidP="00690F33">
      <w:pPr>
        <w:rPr>
          <w:b/>
          <w:bCs/>
        </w:rPr>
      </w:pPr>
      <w:r w:rsidRPr="00690F33">
        <w:rPr>
          <w:b/>
          <w:bCs/>
        </w:rPr>
        <w:t>OPCIÓN 1 – LOW COST</w:t>
      </w:r>
    </w:p>
    <w:p w:rsidR="00690F33" w:rsidRPr="00690F33" w:rsidRDefault="00690F33" w:rsidP="00690F33">
      <w:r w:rsidRPr="00690F33">
        <w:rPr>
          <w:b/>
          <w:bCs/>
        </w:rPr>
        <w:t>Servicios Incluidos:</w:t>
      </w:r>
    </w:p>
    <w:p w:rsidR="00690F33" w:rsidRPr="00690F33" w:rsidRDefault="00690F33" w:rsidP="00690F33">
      <w:pPr>
        <w:numPr>
          <w:ilvl w:val="0"/>
          <w:numId w:val="4"/>
        </w:numPr>
      </w:pPr>
      <w:r w:rsidRPr="00690F33">
        <w:t xml:space="preserve">02 noches de alojamiento con desayuno en hotel Ibis Asunción 3* o similar (In 21/11 </w:t>
      </w:r>
      <w:proofErr w:type="spellStart"/>
      <w:r w:rsidRPr="00690F33">
        <w:t>Out</w:t>
      </w:r>
      <w:proofErr w:type="spellEnd"/>
      <w:r w:rsidRPr="00690F33">
        <w:t xml:space="preserve"> 23/11)</w:t>
      </w:r>
    </w:p>
    <w:p w:rsidR="00690F33" w:rsidRPr="00690F33" w:rsidRDefault="00690F33" w:rsidP="00690F33">
      <w:pPr>
        <w:numPr>
          <w:ilvl w:val="0"/>
          <w:numId w:val="4"/>
        </w:numPr>
      </w:pPr>
      <w:r w:rsidRPr="00690F33">
        <w:t>Traslado Hotel / Estadio / Hotel en regular, servicio compartido</w:t>
      </w:r>
    </w:p>
    <w:p w:rsidR="00690F33" w:rsidRPr="00690F33" w:rsidRDefault="00690F33" w:rsidP="00690F33">
      <w:pPr>
        <w:numPr>
          <w:ilvl w:val="0"/>
          <w:numId w:val="4"/>
        </w:numPr>
      </w:pPr>
      <w:r w:rsidRPr="00690F33">
        <w:t>Entrada a la Final de Copa Sudamericana en Categoría 2</w:t>
      </w:r>
    </w:p>
    <w:p w:rsidR="00690F33" w:rsidRPr="00690F33" w:rsidRDefault="00690F33" w:rsidP="00690F33">
      <w:pPr>
        <w:numPr>
          <w:ilvl w:val="0"/>
          <w:numId w:val="4"/>
        </w:numPr>
      </w:pPr>
      <w:r w:rsidRPr="00690F33">
        <w:t xml:space="preserve">Asistencia al viajero </w:t>
      </w:r>
      <w:proofErr w:type="spellStart"/>
      <w:r w:rsidRPr="00690F33">
        <w:t>Interassist</w:t>
      </w:r>
      <w:proofErr w:type="spellEnd"/>
      <w:r w:rsidRPr="00690F33">
        <w:t xml:space="preserve"> INTER 60</w:t>
      </w:r>
    </w:p>
    <w:p w:rsidR="00690F33" w:rsidRDefault="00690F33" w:rsidP="00690F33">
      <w:pPr>
        <w:numPr>
          <w:ilvl w:val="0"/>
          <w:numId w:val="4"/>
        </w:numPr>
      </w:pPr>
      <w:r w:rsidRPr="00690F33">
        <w:t xml:space="preserve">Soporte y apoyo en destino por personal calificado </w:t>
      </w:r>
    </w:p>
    <w:p w:rsidR="00690F33" w:rsidRPr="00690F33" w:rsidRDefault="00690F33" w:rsidP="00690F33">
      <w:pPr>
        <w:ind w:left="720"/>
      </w:pPr>
    </w:p>
    <w:p w:rsidR="00690F33" w:rsidRPr="00690F33" w:rsidRDefault="00690F33" w:rsidP="00690F33">
      <w:pPr>
        <w:rPr>
          <w:b/>
          <w:bCs/>
        </w:rPr>
      </w:pPr>
      <w:r w:rsidRPr="00690F33">
        <w:rPr>
          <w:b/>
          <w:bCs/>
        </w:rPr>
        <w:t>Precios (Tarifas comisionables 10%)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7"/>
        <w:gridCol w:w="1265"/>
        <w:gridCol w:w="1317"/>
      </w:tblGrid>
      <w:tr w:rsidR="00690F33" w:rsidRPr="00690F33" w:rsidTr="00690F3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690F33" w:rsidRPr="00690F33" w:rsidRDefault="00690F33" w:rsidP="00690F33">
            <w:pPr>
              <w:rPr>
                <w:b/>
                <w:bCs/>
              </w:rPr>
            </w:pPr>
            <w:r w:rsidRPr="00690F33">
              <w:rPr>
                <w:b/>
                <w:bCs/>
              </w:rPr>
              <w:t>BASE</w:t>
            </w:r>
          </w:p>
        </w:tc>
        <w:tc>
          <w:tcPr>
            <w:tcW w:w="0" w:type="auto"/>
            <w:vAlign w:val="center"/>
            <w:hideMark/>
          </w:tcPr>
          <w:p w:rsidR="00690F33" w:rsidRPr="00690F33" w:rsidRDefault="00690F33" w:rsidP="00690F33">
            <w:pPr>
              <w:rPr>
                <w:b/>
                <w:bCs/>
              </w:rPr>
            </w:pPr>
            <w:r w:rsidRPr="00690F33">
              <w:rPr>
                <w:b/>
                <w:bCs/>
              </w:rPr>
              <w:t>DOBLE (USD)</w:t>
            </w:r>
          </w:p>
        </w:tc>
        <w:tc>
          <w:tcPr>
            <w:tcW w:w="0" w:type="auto"/>
            <w:vAlign w:val="center"/>
            <w:hideMark/>
          </w:tcPr>
          <w:p w:rsidR="00690F33" w:rsidRPr="00690F33" w:rsidRDefault="00690F33" w:rsidP="00690F33">
            <w:pPr>
              <w:rPr>
                <w:b/>
                <w:bCs/>
              </w:rPr>
            </w:pPr>
            <w:r w:rsidRPr="00690F33">
              <w:rPr>
                <w:b/>
                <w:bCs/>
              </w:rPr>
              <w:t>SINGLE (USD)</w:t>
            </w:r>
          </w:p>
        </w:tc>
      </w:tr>
      <w:tr w:rsidR="00690F33" w:rsidRPr="00690F33" w:rsidTr="00690F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0F33" w:rsidRPr="00690F33" w:rsidRDefault="00690F33" w:rsidP="00690F33">
            <w:r w:rsidRPr="00690F33">
              <w:t xml:space="preserve">Opción 1 – Low </w:t>
            </w:r>
            <w:proofErr w:type="spellStart"/>
            <w:r w:rsidRPr="00690F33">
              <w:t>Cost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90F33" w:rsidRPr="00690F33" w:rsidRDefault="00690F33" w:rsidP="00690F33">
            <w:pPr>
              <w:jc w:val="center"/>
            </w:pPr>
            <w:r w:rsidRPr="00690F33">
              <w:t>718</w:t>
            </w:r>
          </w:p>
        </w:tc>
        <w:tc>
          <w:tcPr>
            <w:tcW w:w="0" w:type="auto"/>
            <w:vAlign w:val="center"/>
            <w:hideMark/>
          </w:tcPr>
          <w:p w:rsidR="00690F33" w:rsidRPr="00690F33" w:rsidRDefault="00690F33" w:rsidP="00690F33">
            <w:pPr>
              <w:jc w:val="center"/>
            </w:pPr>
            <w:r w:rsidRPr="00690F33">
              <w:t>994</w:t>
            </w:r>
          </w:p>
        </w:tc>
      </w:tr>
    </w:tbl>
    <w:p w:rsidR="00690F33" w:rsidRPr="00690F33" w:rsidRDefault="00690F33" w:rsidP="00690F33">
      <w:r w:rsidRPr="00690F33">
        <w:pict>
          <v:rect id="_x0000_i1107" style="width:0;height:1.5pt" o:hralign="center" o:hrstd="t" o:hr="t" fillcolor="#a0a0a0" stroked="f"/>
        </w:pict>
      </w:r>
    </w:p>
    <w:p w:rsidR="00690F33" w:rsidRPr="00690F33" w:rsidRDefault="00690F33" w:rsidP="00690F33">
      <w:pPr>
        <w:rPr>
          <w:b/>
          <w:bCs/>
        </w:rPr>
      </w:pPr>
      <w:r w:rsidRPr="00690F33">
        <w:rPr>
          <w:b/>
          <w:bCs/>
        </w:rPr>
        <w:t>OPCIÓN 2 – REGULAR</w:t>
      </w:r>
    </w:p>
    <w:p w:rsidR="00690F33" w:rsidRPr="00690F33" w:rsidRDefault="00690F33" w:rsidP="00690F33">
      <w:r w:rsidRPr="00690F33">
        <w:rPr>
          <w:b/>
          <w:bCs/>
        </w:rPr>
        <w:t>Servicios Incluidos:</w:t>
      </w:r>
    </w:p>
    <w:p w:rsidR="00690F33" w:rsidRPr="00690F33" w:rsidRDefault="00690F33" w:rsidP="00690F33">
      <w:pPr>
        <w:numPr>
          <w:ilvl w:val="0"/>
          <w:numId w:val="5"/>
        </w:numPr>
      </w:pPr>
      <w:r w:rsidRPr="00690F33">
        <w:t xml:space="preserve">02 noches de alojamiento con desayuno en hotel </w:t>
      </w:r>
      <w:proofErr w:type="spellStart"/>
      <w:r w:rsidRPr="00690F33">
        <w:t>Dazzler</w:t>
      </w:r>
      <w:proofErr w:type="spellEnd"/>
      <w:r w:rsidRPr="00690F33">
        <w:t xml:space="preserve"> </w:t>
      </w:r>
      <w:proofErr w:type="spellStart"/>
      <w:r w:rsidRPr="00690F33">
        <w:t>by</w:t>
      </w:r>
      <w:proofErr w:type="spellEnd"/>
      <w:r w:rsidRPr="00690F33">
        <w:t xml:space="preserve"> Wyndham 4* o similar (In 21/11 </w:t>
      </w:r>
      <w:proofErr w:type="spellStart"/>
      <w:r w:rsidRPr="00690F33">
        <w:t>Out</w:t>
      </w:r>
      <w:proofErr w:type="spellEnd"/>
      <w:r w:rsidRPr="00690F33">
        <w:t xml:space="preserve"> 23/11)</w:t>
      </w:r>
    </w:p>
    <w:p w:rsidR="00690F33" w:rsidRPr="00690F33" w:rsidRDefault="00690F33" w:rsidP="00690F33">
      <w:pPr>
        <w:numPr>
          <w:ilvl w:val="0"/>
          <w:numId w:val="5"/>
        </w:numPr>
      </w:pPr>
      <w:r w:rsidRPr="00690F33">
        <w:t>Traslado Hotel / Estadio / Hotel en regular, servicio compartido</w:t>
      </w:r>
    </w:p>
    <w:p w:rsidR="00690F33" w:rsidRPr="00690F33" w:rsidRDefault="00690F33" w:rsidP="00690F33">
      <w:pPr>
        <w:numPr>
          <w:ilvl w:val="0"/>
          <w:numId w:val="5"/>
        </w:numPr>
      </w:pPr>
      <w:r w:rsidRPr="00690F33">
        <w:t>Entrada a la Final de Copa Sudamericana en Categoría 1</w:t>
      </w:r>
    </w:p>
    <w:p w:rsidR="00690F33" w:rsidRPr="00690F33" w:rsidRDefault="00690F33" w:rsidP="00690F33">
      <w:pPr>
        <w:numPr>
          <w:ilvl w:val="0"/>
          <w:numId w:val="5"/>
        </w:numPr>
      </w:pPr>
      <w:r w:rsidRPr="00690F33">
        <w:t xml:space="preserve">Asistencia al viajero </w:t>
      </w:r>
      <w:proofErr w:type="spellStart"/>
      <w:r w:rsidRPr="00690F33">
        <w:t>Interassist</w:t>
      </w:r>
      <w:proofErr w:type="spellEnd"/>
      <w:r w:rsidRPr="00690F33">
        <w:t xml:space="preserve"> INTER 60</w:t>
      </w:r>
    </w:p>
    <w:p w:rsidR="00690F33" w:rsidRPr="00690F33" w:rsidRDefault="00690F33" w:rsidP="00690F33">
      <w:pPr>
        <w:numPr>
          <w:ilvl w:val="0"/>
          <w:numId w:val="5"/>
        </w:numPr>
      </w:pPr>
      <w:r w:rsidRPr="00690F33">
        <w:t xml:space="preserve">Soporte y apoyo en destino por personal calificado </w:t>
      </w:r>
    </w:p>
    <w:p w:rsidR="00690F33" w:rsidRPr="00690F33" w:rsidRDefault="00690F33" w:rsidP="00690F33">
      <w:pPr>
        <w:rPr>
          <w:b/>
          <w:bCs/>
        </w:rPr>
      </w:pPr>
      <w:r w:rsidRPr="00690F33">
        <w:rPr>
          <w:b/>
          <w:bCs/>
        </w:rPr>
        <w:t>Precios (Tarifas comisionables 10%)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5"/>
        <w:gridCol w:w="1296"/>
        <w:gridCol w:w="1417"/>
      </w:tblGrid>
      <w:tr w:rsidR="00690F33" w:rsidRPr="00690F33" w:rsidTr="00690F33">
        <w:trPr>
          <w:tblHeader/>
          <w:tblCellSpacing w:w="15" w:type="dxa"/>
        </w:trPr>
        <w:tc>
          <w:tcPr>
            <w:tcW w:w="2340" w:type="dxa"/>
            <w:vAlign w:val="center"/>
            <w:hideMark/>
          </w:tcPr>
          <w:p w:rsidR="00690F33" w:rsidRPr="00690F33" w:rsidRDefault="00690F33" w:rsidP="00690F33">
            <w:pPr>
              <w:rPr>
                <w:b/>
                <w:bCs/>
              </w:rPr>
            </w:pPr>
            <w:r w:rsidRPr="00690F33">
              <w:rPr>
                <w:b/>
                <w:bCs/>
              </w:rPr>
              <w:lastRenderedPageBreak/>
              <w:t>BASE</w:t>
            </w:r>
          </w:p>
        </w:tc>
        <w:tc>
          <w:tcPr>
            <w:tcW w:w="1266" w:type="dxa"/>
            <w:vAlign w:val="center"/>
            <w:hideMark/>
          </w:tcPr>
          <w:p w:rsidR="00690F33" w:rsidRPr="00690F33" w:rsidRDefault="00690F33" w:rsidP="00690F33">
            <w:pPr>
              <w:rPr>
                <w:b/>
                <w:bCs/>
              </w:rPr>
            </w:pPr>
            <w:r w:rsidRPr="00690F33">
              <w:rPr>
                <w:b/>
                <w:bCs/>
              </w:rPr>
              <w:t>DOBLE (USD)</w:t>
            </w:r>
          </w:p>
        </w:tc>
        <w:tc>
          <w:tcPr>
            <w:tcW w:w="1372" w:type="dxa"/>
            <w:vAlign w:val="center"/>
            <w:hideMark/>
          </w:tcPr>
          <w:p w:rsidR="00690F33" w:rsidRPr="00690F33" w:rsidRDefault="00690F33" w:rsidP="00690F33">
            <w:pPr>
              <w:rPr>
                <w:b/>
                <w:bCs/>
              </w:rPr>
            </w:pPr>
            <w:r w:rsidRPr="00690F33">
              <w:rPr>
                <w:b/>
                <w:bCs/>
              </w:rPr>
              <w:t>SINGLE (USD)</w:t>
            </w:r>
          </w:p>
        </w:tc>
      </w:tr>
      <w:tr w:rsidR="00690F33" w:rsidRPr="00690F33" w:rsidTr="00690F33">
        <w:trPr>
          <w:tblCellSpacing w:w="15" w:type="dxa"/>
        </w:trPr>
        <w:tc>
          <w:tcPr>
            <w:tcW w:w="2340" w:type="dxa"/>
            <w:vAlign w:val="center"/>
            <w:hideMark/>
          </w:tcPr>
          <w:p w:rsidR="00690F33" w:rsidRPr="00690F33" w:rsidRDefault="00690F33" w:rsidP="00690F33">
            <w:r w:rsidRPr="00690F33">
              <w:t>Opción 2 – Regular</w:t>
            </w:r>
          </w:p>
        </w:tc>
        <w:tc>
          <w:tcPr>
            <w:tcW w:w="1266" w:type="dxa"/>
            <w:vAlign w:val="center"/>
            <w:hideMark/>
          </w:tcPr>
          <w:p w:rsidR="00690F33" w:rsidRPr="00690F33" w:rsidRDefault="00690F33" w:rsidP="00690F33">
            <w:pPr>
              <w:jc w:val="center"/>
            </w:pPr>
            <w:r w:rsidRPr="00690F33">
              <w:t>994</w:t>
            </w:r>
          </w:p>
        </w:tc>
        <w:tc>
          <w:tcPr>
            <w:tcW w:w="1372" w:type="dxa"/>
            <w:vAlign w:val="center"/>
            <w:hideMark/>
          </w:tcPr>
          <w:p w:rsidR="00690F33" w:rsidRPr="00690F33" w:rsidRDefault="00690F33" w:rsidP="00690F33">
            <w:pPr>
              <w:jc w:val="center"/>
            </w:pPr>
            <w:r w:rsidRPr="00690F33">
              <w:t>1.341</w:t>
            </w:r>
          </w:p>
        </w:tc>
      </w:tr>
    </w:tbl>
    <w:p w:rsidR="00690F33" w:rsidRPr="00690F33" w:rsidRDefault="00690F33" w:rsidP="00690F33">
      <w:r w:rsidRPr="00690F33">
        <w:pict>
          <v:rect id="_x0000_i1108" style="width:0;height:1.5pt" o:hralign="center" o:hrstd="t" o:hr="t" fillcolor="#a0a0a0" stroked="f"/>
        </w:pict>
      </w:r>
    </w:p>
    <w:p w:rsidR="00690F33" w:rsidRPr="00690F33" w:rsidRDefault="00690F33" w:rsidP="00690F33">
      <w:pPr>
        <w:rPr>
          <w:b/>
          <w:bCs/>
        </w:rPr>
      </w:pPr>
      <w:r w:rsidRPr="00690F33">
        <w:rPr>
          <w:b/>
          <w:bCs/>
        </w:rPr>
        <w:t>OPCIÓN 3 – PREMIUM</w:t>
      </w:r>
    </w:p>
    <w:p w:rsidR="00690F33" w:rsidRPr="00690F33" w:rsidRDefault="00690F33" w:rsidP="00690F33">
      <w:r w:rsidRPr="00690F33">
        <w:rPr>
          <w:b/>
          <w:bCs/>
        </w:rPr>
        <w:t>Servicios Incluidos:</w:t>
      </w:r>
    </w:p>
    <w:p w:rsidR="00690F33" w:rsidRPr="00690F33" w:rsidRDefault="00690F33" w:rsidP="00690F33">
      <w:pPr>
        <w:numPr>
          <w:ilvl w:val="0"/>
          <w:numId w:val="6"/>
        </w:numPr>
      </w:pPr>
      <w:r w:rsidRPr="00690F33">
        <w:t xml:space="preserve">02 noches de alojamiento con desayuno en hotel Sheraton Asunción 5* o similar (In 21/11 </w:t>
      </w:r>
      <w:proofErr w:type="spellStart"/>
      <w:r w:rsidRPr="00690F33">
        <w:t>Out</w:t>
      </w:r>
      <w:proofErr w:type="spellEnd"/>
      <w:r w:rsidRPr="00690F33">
        <w:t xml:space="preserve"> 23/11)</w:t>
      </w:r>
    </w:p>
    <w:p w:rsidR="00690F33" w:rsidRPr="00690F33" w:rsidRDefault="00690F33" w:rsidP="00690F33">
      <w:pPr>
        <w:numPr>
          <w:ilvl w:val="0"/>
          <w:numId w:val="6"/>
        </w:numPr>
      </w:pPr>
      <w:r w:rsidRPr="00690F33">
        <w:t>Traslado Hotel / Estadio / Hotel en regular, servicio compartido</w:t>
      </w:r>
    </w:p>
    <w:p w:rsidR="00690F33" w:rsidRPr="00690F33" w:rsidRDefault="00690F33" w:rsidP="00690F33">
      <w:pPr>
        <w:numPr>
          <w:ilvl w:val="0"/>
          <w:numId w:val="6"/>
        </w:numPr>
      </w:pPr>
      <w:r w:rsidRPr="00690F33">
        <w:t>Entrada a la Final de Copa Sudamericana en Hospitalidad Oficial Categoría 1</w:t>
      </w:r>
    </w:p>
    <w:p w:rsidR="00690F33" w:rsidRPr="00690F33" w:rsidRDefault="00690F33" w:rsidP="00690F33">
      <w:pPr>
        <w:numPr>
          <w:ilvl w:val="0"/>
          <w:numId w:val="6"/>
        </w:numPr>
      </w:pPr>
      <w:r w:rsidRPr="00690F33">
        <w:t xml:space="preserve">Asistencia al viajero </w:t>
      </w:r>
      <w:proofErr w:type="spellStart"/>
      <w:r w:rsidRPr="00690F33">
        <w:t>Interassist</w:t>
      </w:r>
      <w:proofErr w:type="spellEnd"/>
      <w:r w:rsidRPr="00690F33">
        <w:t xml:space="preserve"> INTER 60</w:t>
      </w:r>
    </w:p>
    <w:p w:rsidR="00690F33" w:rsidRPr="00690F33" w:rsidRDefault="00690F33" w:rsidP="00690F33">
      <w:pPr>
        <w:numPr>
          <w:ilvl w:val="0"/>
          <w:numId w:val="6"/>
        </w:numPr>
      </w:pPr>
      <w:r w:rsidRPr="00690F33">
        <w:t>Soporte y apoyo en destino por personal calificado</w:t>
      </w:r>
    </w:p>
    <w:p w:rsidR="00690F33" w:rsidRPr="00690F33" w:rsidRDefault="00690F33" w:rsidP="00690F33">
      <w:pPr>
        <w:rPr>
          <w:b/>
          <w:bCs/>
        </w:rPr>
      </w:pPr>
      <w:r w:rsidRPr="00690F33">
        <w:rPr>
          <w:b/>
          <w:bCs/>
        </w:rPr>
        <w:t>Precios (Tarifas comisionables 10%)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7"/>
        <w:gridCol w:w="2047"/>
        <w:gridCol w:w="2127"/>
      </w:tblGrid>
      <w:tr w:rsidR="00690F33" w:rsidRPr="00690F33" w:rsidTr="00690F3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690F33" w:rsidRPr="00690F33" w:rsidRDefault="00690F33" w:rsidP="00690F33">
            <w:pPr>
              <w:rPr>
                <w:b/>
                <w:bCs/>
              </w:rPr>
            </w:pPr>
            <w:r w:rsidRPr="00690F33">
              <w:rPr>
                <w:b/>
                <w:bCs/>
              </w:rPr>
              <w:t>BASE</w:t>
            </w:r>
          </w:p>
        </w:tc>
        <w:tc>
          <w:tcPr>
            <w:tcW w:w="2017" w:type="dxa"/>
            <w:vAlign w:val="center"/>
            <w:hideMark/>
          </w:tcPr>
          <w:p w:rsidR="00690F33" w:rsidRPr="00690F33" w:rsidRDefault="00690F33" w:rsidP="00690F33">
            <w:pPr>
              <w:jc w:val="center"/>
              <w:rPr>
                <w:b/>
                <w:bCs/>
              </w:rPr>
            </w:pPr>
            <w:r w:rsidRPr="00690F33">
              <w:rPr>
                <w:b/>
                <w:bCs/>
              </w:rPr>
              <w:t>DOBLE (USD)</w:t>
            </w:r>
          </w:p>
        </w:tc>
        <w:tc>
          <w:tcPr>
            <w:tcW w:w="2082" w:type="dxa"/>
            <w:vAlign w:val="center"/>
            <w:hideMark/>
          </w:tcPr>
          <w:p w:rsidR="00690F33" w:rsidRPr="00690F33" w:rsidRDefault="00690F33" w:rsidP="00690F33">
            <w:pPr>
              <w:jc w:val="center"/>
              <w:rPr>
                <w:b/>
                <w:bCs/>
              </w:rPr>
            </w:pPr>
            <w:r w:rsidRPr="00690F33">
              <w:rPr>
                <w:b/>
                <w:bCs/>
              </w:rPr>
              <w:t>SINGLE (USD)</w:t>
            </w:r>
          </w:p>
        </w:tc>
      </w:tr>
      <w:tr w:rsidR="00690F33" w:rsidRPr="00690F33" w:rsidTr="00690F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0F33" w:rsidRPr="00690F33" w:rsidRDefault="00690F33" w:rsidP="00690F33">
            <w:r w:rsidRPr="00690F33">
              <w:t>Opción 3 – Premium</w:t>
            </w:r>
          </w:p>
        </w:tc>
        <w:tc>
          <w:tcPr>
            <w:tcW w:w="2017" w:type="dxa"/>
            <w:vAlign w:val="center"/>
            <w:hideMark/>
          </w:tcPr>
          <w:p w:rsidR="00690F33" w:rsidRPr="00690F33" w:rsidRDefault="00690F33" w:rsidP="00690F33">
            <w:pPr>
              <w:jc w:val="center"/>
            </w:pPr>
            <w:r w:rsidRPr="00690F33">
              <w:t>1.682</w:t>
            </w:r>
          </w:p>
        </w:tc>
        <w:tc>
          <w:tcPr>
            <w:tcW w:w="2082" w:type="dxa"/>
            <w:vAlign w:val="center"/>
            <w:hideMark/>
          </w:tcPr>
          <w:p w:rsidR="00690F33" w:rsidRPr="00690F33" w:rsidRDefault="00690F33" w:rsidP="00690F33">
            <w:pPr>
              <w:jc w:val="center"/>
            </w:pPr>
            <w:r w:rsidRPr="00690F33">
              <w:t>2.171</w:t>
            </w:r>
          </w:p>
        </w:tc>
      </w:tr>
    </w:tbl>
    <w:p w:rsidR="00690F33" w:rsidRDefault="00690F33" w:rsidP="00690F33"/>
    <w:p w:rsidR="00690F33" w:rsidRDefault="00690F33" w:rsidP="00690F33"/>
    <w:p w:rsidR="00690F33" w:rsidRDefault="00690F33" w:rsidP="00690F33"/>
    <w:p w:rsidR="00690F33" w:rsidRDefault="00690F33" w:rsidP="00690F33"/>
    <w:p w:rsidR="00690F33" w:rsidRPr="00690F33" w:rsidRDefault="00690F33" w:rsidP="00690F33">
      <w:pPr>
        <w:rPr>
          <w:b/>
          <w:bCs/>
        </w:rPr>
      </w:pPr>
      <w:r w:rsidRPr="00690F33">
        <w:rPr>
          <w:b/>
          <w:bCs/>
        </w:rPr>
        <w:t>ASISTENCIA INTERASSIST INTER 60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56"/>
        <w:gridCol w:w="2107"/>
      </w:tblGrid>
      <w:tr w:rsidR="00690F33" w:rsidRPr="00690F33" w:rsidTr="00690F3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690F33" w:rsidRPr="00690F33" w:rsidRDefault="00690F33" w:rsidP="00690F33">
            <w:pPr>
              <w:rPr>
                <w:b/>
                <w:bCs/>
              </w:rPr>
            </w:pPr>
            <w:r w:rsidRPr="00690F33">
              <w:rPr>
                <w:b/>
                <w:bCs/>
              </w:rPr>
              <w:t>Cobertura / Servicio</w:t>
            </w:r>
          </w:p>
        </w:tc>
        <w:tc>
          <w:tcPr>
            <w:tcW w:w="0" w:type="auto"/>
            <w:vAlign w:val="center"/>
            <w:hideMark/>
          </w:tcPr>
          <w:p w:rsidR="00690F33" w:rsidRPr="00690F33" w:rsidRDefault="00690F33" w:rsidP="00690F33">
            <w:pPr>
              <w:rPr>
                <w:b/>
                <w:bCs/>
              </w:rPr>
            </w:pPr>
            <w:r w:rsidRPr="00690F33">
              <w:rPr>
                <w:b/>
                <w:bCs/>
              </w:rPr>
              <w:t>Detalle</w:t>
            </w:r>
          </w:p>
        </w:tc>
      </w:tr>
      <w:tr w:rsidR="00690F33" w:rsidRPr="00690F33" w:rsidTr="00690F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0F33" w:rsidRPr="00690F33" w:rsidRDefault="00690F33" w:rsidP="00690F33">
            <w:r w:rsidRPr="00690F33">
              <w:t>Cobertura global máxima</w:t>
            </w:r>
          </w:p>
        </w:tc>
        <w:tc>
          <w:tcPr>
            <w:tcW w:w="0" w:type="auto"/>
            <w:vAlign w:val="center"/>
            <w:hideMark/>
          </w:tcPr>
          <w:p w:rsidR="00690F33" w:rsidRPr="00690F33" w:rsidRDefault="00690F33" w:rsidP="00690F33">
            <w:r w:rsidRPr="00690F33">
              <w:t>USD 60.000</w:t>
            </w:r>
          </w:p>
        </w:tc>
      </w:tr>
      <w:tr w:rsidR="00690F33" w:rsidRPr="00690F33" w:rsidTr="00690F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0F33" w:rsidRPr="00690F33" w:rsidRDefault="00690F33" w:rsidP="00690F33">
            <w:r w:rsidRPr="00690F33">
              <w:t>Asistencia médica en caso de enfermedad y/o accidente</w:t>
            </w:r>
          </w:p>
        </w:tc>
        <w:tc>
          <w:tcPr>
            <w:tcW w:w="0" w:type="auto"/>
            <w:vAlign w:val="center"/>
            <w:hideMark/>
          </w:tcPr>
          <w:p w:rsidR="00690F33" w:rsidRPr="00690F33" w:rsidRDefault="00690F33" w:rsidP="00690F33">
            <w:r w:rsidRPr="00690F33">
              <w:t>USD 60.000</w:t>
            </w:r>
          </w:p>
        </w:tc>
      </w:tr>
      <w:tr w:rsidR="00690F33" w:rsidRPr="00690F33" w:rsidTr="00690F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0F33" w:rsidRPr="00690F33" w:rsidRDefault="00690F33" w:rsidP="00690F33">
            <w:r w:rsidRPr="00690F33">
              <w:t>Medicamentos</w:t>
            </w:r>
          </w:p>
        </w:tc>
        <w:tc>
          <w:tcPr>
            <w:tcW w:w="0" w:type="auto"/>
            <w:vAlign w:val="center"/>
            <w:hideMark/>
          </w:tcPr>
          <w:p w:rsidR="00690F33" w:rsidRPr="00690F33" w:rsidRDefault="00690F33" w:rsidP="00690F33">
            <w:r w:rsidRPr="00690F33">
              <w:t>USD 2.000</w:t>
            </w:r>
          </w:p>
        </w:tc>
      </w:tr>
      <w:tr w:rsidR="00690F33" w:rsidRPr="00690F33" w:rsidTr="00690F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0F33" w:rsidRPr="00690F33" w:rsidRDefault="00690F33" w:rsidP="00690F33">
            <w:r w:rsidRPr="00690F33">
              <w:t>Asistencia médica en caso de preexistencia</w:t>
            </w:r>
          </w:p>
        </w:tc>
        <w:tc>
          <w:tcPr>
            <w:tcW w:w="0" w:type="auto"/>
            <w:vAlign w:val="center"/>
            <w:hideMark/>
          </w:tcPr>
          <w:p w:rsidR="00690F33" w:rsidRPr="00690F33" w:rsidRDefault="00690F33" w:rsidP="00690F33">
            <w:r w:rsidRPr="00690F33">
              <w:t>USD 3.000</w:t>
            </w:r>
          </w:p>
        </w:tc>
      </w:tr>
      <w:tr w:rsidR="00690F33" w:rsidRPr="00690F33" w:rsidTr="00690F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0F33" w:rsidRPr="00690F33" w:rsidRDefault="00690F33" w:rsidP="00690F33">
            <w:r w:rsidRPr="00690F33">
              <w:t>Odontología de urgencia</w:t>
            </w:r>
          </w:p>
        </w:tc>
        <w:tc>
          <w:tcPr>
            <w:tcW w:w="0" w:type="auto"/>
            <w:vAlign w:val="center"/>
            <w:hideMark/>
          </w:tcPr>
          <w:p w:rsidR="00690F33" w:rsidRPr="00690F33" w:rsidRDefault="00690F33" w:rsidP="00690F33">
            <w:r w:rsidRPr="00690F33">
              <w:t>USD 500</w:t>
            </w:r>
          </w:p>
        </w:tc>
      </w:tr>
      <w:tr w:rsidR="00690F33" w:rsidRPr="00690F33" w:rsidTr="00690F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0F33" w:rsidRPr="00690F33" w:rsidRDefault="00690F33" w:rsidP="00690F33">
            <w:r w:rsidRPr="00690F33">
              <w:t>Gastos de hotel por convalecencia</w:t>
            </w:r>
          </w:p>
        </w:tc>
        <w:tc>
          <w:tcPr>
            <w:tcW w:w="0" w:type="auto"/>
            <w:vAlign w:val="center"/>
            <w:hideMark/>
          </w:tcPr>
          <w:p w:rsidR="00690F33" w:rsidRPr="00690F33" w:rsidRDefault="00690F33" w:rsidP="00690F33">
            <w:r w:rsidRPr="00690F33">
              <w:t>USD 500</w:t>
            </w:r>
          </w:p>
        </w:tc>
      </w:tr>
      <w:tr w:rsidR="00690F33" w:rsidRPr="00690F33" w:rsidTr="00690F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0F33" w:rsidRPr="00690F33" w:rsidRDefault="00690F33" w:rsidP="00690F33">
            <w:r w:rsidRPr="00690F33">
              <w:t>Días complementarios por internación</w:t>
            </w:r>
          </w:p>
        </w:tc>
        <w:tc>
          <w:tcPr>
            <w:tcW w:w="0" w:type="auto"/>
            <w:vAlign w:val="center"/>
            <w:hideMark/>
          </w:tcPr>
          <w:p w:rsidR="00690F33" w:rsidRPr="00690F33" w:rsidRDefault="00690F33" w:rsidP="00690F33">
            <w:r w:rsidRPr="00690F33">
              <w:t>5 días</w:t>
            </w:r>
          </w:p>
        </w:tc>
      </w:tr>
      <w:tr w:rsidR="00690F33" w:rsidRPr="00690F33" w:rsidTr="00690F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0F33" w:rsidRPr="00690F33" w:rsidRDefault="00690F33" w:rsidP="00690F33">
            <w:r w:rsidRPr="00690F33">
              <w:t>Traslado sanitario</w:t>
            </w:r>
          </w:p>
        </w:tc>
        <w:tc>
          <w:tcPr>
            <w:tcW w:w="0" w:type="auto"/>
            <w:vAlign w:val="center"/>
            <w:hideMark/>
          </w:tcPr>
          <w:p w:rsidR="00690F33" w:rsidRPr="00690F33" w:rsidRDefault="00690F33" w:rsidP="00690F33">
            <w:r w:rsidRPr="00690F33">
              <w:t>Incluido</w:t>
            </w:r>
          </w:p>
        </w:tc>
      </w:tr>
      <w:tr w:rsidR="00690F33" w:rsidRPr="00690F33" w:rsidTr="00690F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0F33" w:rsidRPr="00690F33" w:rsidRDefault="00690F33" w:rsidP="00690F33">
            <w:r w:rsidRPr="00690F33">
              <w:t>Repatriación sanitaria</w:t>
            </w:r>
          </w:p>
        </w:tc>
        <w:tc>
          <w:tcPr>
            <w:tcW w:w="0" w:type="auto"/>
            <w:vAlign w:val="center"/>
            <w:hideMark/>
          </w:tcPr>
          <w:p w:rsidR="00690F33" w:rsidRPr="00690F33" w:rsidRDefault="00690F33" w:rsidP="00690F33">
            <w:r w:rsidRPr="00690F33">
              <w:t>Incluido</w:t>
            </w:r>
          </w:p>
        </w:tc>
      </w:tr>
      <w:tr w:rsidR="00690F33" w:rsidRPr="00690F33" w:rsidTr="00690F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0F33" w:rsidRPr="00690F33" w:rsidRDefault="00690F33" w:rsidP="00690F33">
            <w:r w:rsidRPr="00690F33">
              <w:lastRenderedPageBreak/>
              <w:t>Repatriación funeraria</w:t>
            </w:r>
          </w:p>
        </w:tc>
        <w:tc>
          <w:tcPr>
            <w:tcW w:w="0" w:type="auto"/>
            <w:vAlign w:val="center"/>
            <w:hideMark/>
          </w:tcPr>
          <w:p w:rsidR="00690F33" w:rsidRPr="00690F33" w:rsidRDefault="00690F33" w:rsidP="00690F33">
            <w:r w:rsidRPr="00690F33">
              <w:t>Incluido</w:t>
            </w:r>
          </w:p>
        </w:tc>
      </w:tr>
      <w:tr w:rsidR="00690F33" w:rsidRPr="00690F33" w:rsidTr="00690F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0F33" w:rsidRPr="00690F33" w:rsidRDefault="00690F33" w:rsidP="00690F33">
            <w:r w:rsidRPr="00690F33">
              <w:t>Traslado de familiar por hospitalización del beneficiario</w:t>
            </w:r>
          </w:p>
        </w:tc>
        <w:tc>
          <w:tcPr>
            <w:tcW w:w="0" w:type="auto"/>
            <w:vAlign w:val="center"/>
            <w:hideMark/>
          </w:tcPr>
          <w:p w:rsidR="00690F33" w:rsidRPr="00690F33" w:rsidRDefault="00690F33" w:rsidP="00690F33">
            <w:proofErr w:type="spellStart"/>
            <w:r w:rsidRPr="00690F33">
              <w:t>Tkt</w:t>
            </w:r>
            <w:proofErr w:type="spellEnd"/>
            <w:r w:rsidRPr="00690F33">
              <w:t xml:space="preserve"> Aéreo/Alojamiento</w:t>
            </w:r>
          </w:p>
        </w:tc>
      </w:tr>
      <w:tr w:rsidR="00690F33" w:rsidRPr="00690F33" w:rsidTr="00690F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0F33" w:rsidRPr="00690F33" w:rsidRDefault="00690F33" w:rsidP="00690F33">
            <w:r w:rsidRPr="00690F33">
              <w:t>Viaje de regreso por fallecimiento de un familiar</w:t>
            </w:r>
          </w:p>
        </w:tc>
        <w:tc>
          <w:tcPr>
            <w:tcW w:w="0" w:type="auto"/>
            <w:vAlign w:val="center"/>
            <w:hideMark/>
          </w:tcPr>
          <w:p w:rsidR="00690F33" w:rsidRPr="00690F33" w:rsidRDefault="00690F33" w:rsidP="00690F33">
            <w:proofErr w:type="spellStart"/>
            <w:r w:rsidRPr="00690F33">
              <w:t>Tkt</w:t>
            </w:r>
            <w:proofErr w:type="spellEnd"/>
            <w:r w:rsidRPr="00690F33">
              <w:t xml:space="preserve"> Aéreo</w:t>
            </w:r>
          </w:p>
        </w:tc>
      </w:tr>
      <w:tr w:rsidR="00690F33" w:rsidRPr="00690F33" w:rsidTr="00690F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0F33" w:rsidRPr="00690F33" w:rsidRDefault="00690F33" w:rsidP="00690F33">
            <w:r w:rsidRPr="00690F33">
              <w:t>Viaje de regreso por siniestro en domicilio del beneficiario</w:t>
            </w:r>
          </w:p>
        </w:tc>
        <w:tc>
          <w:tcPr>
            <w:tcW w:w="0" w:type="auto"/>
            <w:vAlign w:val="center"/>
            <w:hideMark/>
          </w:tcPr>
          <w:p w:rsidR="00690F33" w:rsidRPr="00690F33" w:rsidRDefault="00690F33" w:rsidP="00690F33">
            <w:proofErr w:type="spellStart"/>
            <w:r w:rsidRPr="00690F33">
              <w:t>Tkt</w:t>
            </w:r>
            <w:proofErr w:type="spellEnd"/>
            <w:r w:rsidRPr="00690F33">
              <w:t xml:space="preserve"> Aéreo</w:t>
            </w:r>
          </w:p>
        </w:tc>
      </w:tr>
      <w:tr w:rsidR="00690F33" w:rsidRPr="00690F33" w:rsidTr="00690F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0F33" w:rsidRPr="00690F33" w:rsidRDefault="00690F33" w:rsidP="00690F33">
            <w:r w:rsidRPr="00690F33">
              <w:t>Acompañamiento de menores</w:t>
            </w:r>
          </w:p>
        </w:tc>
        <w:tc>
          <w:tcPr>
            <w:tcW w:w="0" w:type="auto"/>
            <w:vAlign w:val="center"/>
            <w:hideMark/>
          </w:tcPr>
          <w:p w:rsidR="00690F33" w:rsidRPr="00690F33" w:rsidRDefault="00690F33" w:rsidP="00690F33">
            <w:r w:rsidRPr="00690F33">
              <w:t>Incluido</w:t>
            </w:r>
          </w:p>
        </w:tc>
      </w:tr>
      <w:tr w:rsidR="00690F33" w:rsidRPr="00690F33" w:rsidTr="00690F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0F33" w:rsidRPr="00690F33" w:rsidRDefault="00690F33" w:rsidP="00690F33">
            <w:r w:rsidRPr="00690F33">
              <w:t>Localización en caso de pérdida de equipaje</w:t>
            </w:r>
          </w:p>
        </w:tc>
        <w:tc>
          <w:tcPr>
            <w:tcW w:w="0" w:type="auto"/>
            <w:vAlign w:val="center"/>
            <w:hideMark/>
          </w:tcPr>
          <w:p w:rsidR="00690F33" w:rsidRPr="00690F33" w:rsidRDefault="00690F33" w:rsidP="00690F33">
            <w:r w:rsidRPr="00690F33">
              <w:t>Incluido</w:t>
            </w:r>
          </w:p>
        </w:tc>
      </w:tr>
      <w:tr w:rsidR="00690F33" w:rsidRPr="00690F33" w:rsidTr="00690F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0F33" w:rsidRPr="00690F33" w:rsidRDefault="00690F33" w:rsidP="00690F33">
            <w:r w:rsidRPr="00690F33">
              <w:t>Indemnización complementaria por pérdida de equipaje</w:t>
            </w:r>
          </w:p>
        </w:tc>
        <w:tc>
          <w:tcPr>
            <w:tcW w:w="0" w:type="auto"/>
            <w:vAlign w:val="center"/>
            <w:hideMark/>
          </w:tcPr>
          <w:p w:rsidR="00690F33" w:rsidRPr="00690F33" w:rsidRDefault="00690F33" w:rsidP="00690F33">
            <w:r w:rsidRPr="00690F33">
              <w:t>USD 1.200</w:t>
            </w:r>
          </w:p>
        </w:tc>
      </w:tr>
      <w:tr w:rsidR="00690F33" w:rsidRPr="00690F33" w:rsidTr="00690F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0F33" w:rsidRPr="00690F33" w:rsidRDefault="00690F33" w:rsidP="00690F33">
            <w:r w:rsidRPr="00690F33">
              <w:t>Compensación por demora en la devolución del equipaje</w:t>
            </w:r>
          </w:p>
        </w:tc>
        <w:tc>
          <w:tcPr>
            <w:tcW w:w="0" w:type="auto"/>
            <w:vAlign w:val="center"/>
            <w:hideMark/>
          </w:tcPr>
          <w:p w:rsidR="00690F33" w:rsidRPr="00690F33" w:rsidRDefault="00690F33" w:rsidP="00690F33">
            <w:r w:rsidRPr="00690F33">
              <w:t>USD 400</w:t>
            </w:r>
          </w:p>
        </w:tc>
      </w:tr>
      <w:tr w:rsidR="00690F33" w:rsidRPr="00690F33" w:rsidTr="00690F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0F33" w:rsidRPr="00690F33" w:rsidRDefault="00690F33" w:rsidP="00690F33">
            <w:r w:rsidRPr="00690F33">
              <w:t>Gastos de cancelación / interrupción con causa</w:t>
            </w:r>
          </w:p>
        </w:tc>
        <w:tc>
          <w:tcPr>
            <w:tcW w:w="0" w:type="auto"/>
            <w:vAlign w:val="center"/>
            <w:hideMark/>
          </w:tcPr>
          <w:p w:rsidR="00690F33" w:rsidRPr="00690F33" w:rsidRDefault="00690F33" w:rsidP="00690F33">
            <w:r w:rsidRPr="00690F33">
              <w:t>USD 1.000</w:t>
            </w:r>
          </w:p>
        </w:tc>
      </w:tr>
      <w:tr w:rsidR="00690F33" w:rsidRPr="00690F33" w:rsidTr="00690F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0F33" w:rsidRPr="00690F33" w:rsidRDefault="00690F33" w:rsidP="00690F33">
            <w:r w:rsidRPr="00690F33">
              <w:t>Cancelación Premium</w:t>
            </w:r>
          </w:p>
        </w:tc>
        <w:tc>
          <w:tcPr>
            <w:tcW w:w="0" w:type="auto"/>
            <w:vAlign w:val="center"/>
            <w:hideMark/>
          </w:tcPr>
          <w:p w:rsidR="00690F33" w:rsidRPr="00690F33" w:rsidRDefault="00690F33" w:rsidP="00690F33">
            <w:r w:rsidRPr="00690F33">
              <w:t>USD 600</w:t>
            </w:r>
          </w:p>
        </w:tc>
      </w:tr>
      <w:tr w:rsidR="00690F33" w:rsidRPr="00690F33" w:rsidTr="00690F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0F33" w:rsidRPr="00690F33" w:rsidRDefault="00690F33" w:rsidP="00690F33">
            <w:r w:rsidRPr="00690F33">
              <w:t>Gastos por vuelo demorado o cancelado (mínimo 6 horas)</w:t>
            </w:r>
          </w:p>
        </w:tc>
        <w:tc>
          <w:tcPr>
            <w:tcW w:w="0" w:type="auto"/>
            <w:vAlign w:val="center"/>
            <w:hideMark/>
          </w:tcPr>
          <w:p w:rsidR="00690F33" w:rsidRPr="00690F33" w:rsidRDefault="00690F33" w:rsidP="00690F33">
            <w:r w:rsidRPr="00690F33">
              <w:t>USD 200</w:t>
            </w:r>
          </w:p>
        </w:tc>
      </w:tr>
      <w:tr w:rsidR="00690F33" w:rsidRPr="00690F33" w:rsidTr="00690F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0F33" w:rsidRPr="00690F33" w:rsidRDefault="00690F33" w:rsidP="00690F33">
            <w:r w:rsidRPr="00690F33">
              <w:t>Transferencia de fondos</w:t>
            </w:r>
          </w:p>
        </w:tc>
        <w:tc>
          <w:tcPr>
            <w:tcW w:w="0" w:type="auto"/>
            <w:vAlign w:val="center"/>
            <w:hideMark/>
          </w:tcPr>
          <w:p w:rsidR="00690F33" w:rsidRPr="00690F33" w:rsidRDefault="00690F33" w:rsidP="00690F33">
            <w:r w:rsidRPr="00690F33">
              <w:t>USD 4.000</w:t>
            </w:r>
          </w:p>
        </w:tc>
      </w:tr>
      <w:tr w:rsidR="00690F33" w:rsidRPr="00690F33" w:rsidTr="00690F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0F33" w:rsidRPr="00690F33" w:rsidRDefault="00690F33" w:rsidP="00690F33">
            <w:r w:rsidRPr="00690F33">
              <w:t>Asistencia legal por accidente de tránsito</w:t>
            </w:r>
          </w:p>
        </w:tc>
        <w:tc>
          <w:tcPr>
            <w:tcW w:w="0" w:type="auto"/>
            <w:vAlign w:val="center"/>
            <w:hideMark/>
          </w:tcPr>
          <w:p w:rsidR="00690F33" w:rsidRPr="00690F33" w:rsidRDefault="00690F33" w:rsidP="00690F33">
            <w:r w:rsidRPr="00690F33">
              <w:t>USD 4.000</w:t>
            </w:r>
          </w:p>
        </w:tc>
      </w:tr>
      <w:tr w:rsidR="00690F33" w:rsidRPr="00690F33" w:rsidTr="00690F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0F33" w:rsidRPr="00690F33" w:rsidRDefault="00690F33" w:rsidP="00690F33">
            <w:r w:rsidRPr="00690F33">
              <w:t>Transferencia de fondos para fianza legal</w:t>
            </w:r>
          </w:p>
        </w:tc>
        <w:tc>
          <w:tcPr>
            <w:tcW w:w="0" w:type="auto"/>
            <w:vAlign w:val="center"/>
            <w:hideMark/>
          </w:tcPr>
          <w:p w:rsidR="00690F33" w:rsidRPr="00690F33" w:rsidRDefault="00690F33" w:rsidP="00690F33">
            <w:r w:rsidRPr="00690F33">
              <w:t>USD 15.000</w:t>
            </w:r>
          </w:p>
        </w:tc>
      </w:tr>
      <w:tr w:rsidR="00690F33" w:rsidRPr="00690F33" w:rsidTr="00690F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0F33" w:rsidRPr="00690F33" w:rsidRDefault="00690F33" w:rsidP="00690F33">
            <w:r w:rsidRPr="00690F33">
              <w:t>Asistencia en caso de extravío de documentación</w:t>
            </w:r>
          </w:p>
        </w:tc>
        <w:tc>
          <w:tcPr>
            <w:tcW w:w="0" w:type="auto"/>
            <w:vAlign w:val="center"/>
            <w:hideMark/>
          </w:tcPr>
          <w:p w:rsidR="00690F33" w:rsidRPr="00690F33" w:rsidRDefault="00690F33" w:rsidP="00690F33">
            <w:r w:rsidRPr="00690F33">
              <w:t>Incluido</w:t>
            </w:r>
          </w:p>
        </w:tc>
      </w:tr>
      <w:tr w:rsidR="00690F33" w:rsidRPr="00690F33" w:rsidTr="00690F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0F33" w:rsidRPr="00690F33" w:rsidRDefault="00690F33" w:rsidP="00690F33">
            <w:r w:rsidRPr="00690F33">
              <w:t>Línea de consulta / información</w:t>
            </w:r>
          </w:p>
        </w:tc>
        <w:tc>
          <w:tcPr>
            <w:tcW w:w="0" w:type="auto"/>
            <w:vAlign w:val="center"/>
            <w:hideMark/>
          </w:tcPr>
          <w:p w:rsidR="00690F33" w:rsidRPr="00690F33" w:rsidRDefault="00690F33" w:rsidP="00690F33">
            <w:r w:rsidRPr="00690F33">
              <w:t>Incluido</w:t>
            </w:r>
          </w:p>
        </w:tc>
      </w:tr>
      <w:tr w:rsidR="00690F33" w:rsidRPr="00690F33" w:rsidTr="00690F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0F33" w:rsidRPr="00690F33" w:rsidRDefault="00690F33" w:rsidP="00690F33">
            <w:r w:rsidRPr="00690F33">
              <w:t>Sustitución de ejecutivo</w:t>
            </w:r>
          </w:p>
        </w:tc>
        <w:tc>
          <w:tcPr>
            <w:tcW w:w="0" w:type="auto"/>
            <w:vAlign w:val="center"/>
            <w:hideMark/>
          </w:tcPr>
          <w:p w:rsidR="00690F33" w:rsidRPr="00690F33" w:rsidRDefault="00690F33" w:rsidP="00690F33">
            <w:r w:rsidRPr="00690F33">
              <w:t>Incluido</w:t>
            </w:r>
          </w:p>
        </w:tc>
      </w:tr>
      <w:tr w:rsidR="00690F33" w:rsidRPr="00690F33" w:rsidTr="00690F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0F33" w:rsidRPr="00690F33" w:rsidRDefault="00690F33" w:rsidP="00690F33">
            <w:r w:rsidRPr="00690F33">
              <w:t>Rotura de equipaje</w:t>
            </w:r>
          </w:p>
        </w:tc>
        <w:tc>
          <w:tcPr>
            <w:tcW w:w="0" w:type="auto"/>
            <w:vAlign w:val="center"/>
            <w:hideMark/>
          </w:tcPr>
          <w:p w:rsidR="00690F33" w:rsidRPr="00690F33" w:rsidRDefault="00690F33" w:rsidP="00690F33">
            <w:r w:rsidRPr="00690F33">
              <w:t>USD 25</w:t>
            </w:r>
          </w:p>
        </w:tc>
      </w:tr>
      <w:tr w:rsidR="00690F33" w:rsidRPr="00690F33" w:rsidTr="00690F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0F33" w:rsidRPr="00690F33" w:rsidRDefault="00690F33" w:rsidP="00690F33">
            <w:r w:rsidRPr="00690F33">
              <w:t>Cobertura Geográfica</w:t>
            </w:r>
          </w:p>
        </w:tc>
        <w:tc>
          <w:tcPr>
            <w:tcW w:w="0" w:type="auto"/>
            <w:vAlign w:val="center"/>
            <w:hideMark/>
          </w:tcPr>
          <w:p w:rsidR="00690F33" w:rsidRPr="00690F33" w:rsidRDefault="00690F33" w:rsidP="00690F33">
            <w:r w:rsidRPr="00690F33">
              <w:t>Mundial</w:t>
            </w:r>
          </w:p>
        </w:tc>
      </w:tr>
      <w:tr w:rsidR="00690F33" w:rsidRPr="00690F33" w:rsidTr="00690F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0F33" w:rsidRPr="00690F33" w:rsidRDefault="00690F33" w:rsidP="00690F33">
            <w:r w:rsidRPr="00690F33">
              <w:t>Mínimo días por viaje</w:t>
            </w:r>
          </w:p>
        </w:tc>
        <w:tc>
          <w:tcPr>
            <w:tcW w:w="0" w:type="auto"/>
            <w:vAlign w:val="center"/>
            <w:hideMark/>
          </w:tcPr>
          <w:p w:rsidR="00690F33" w:rsidRPr="00690F33" w:rsidRDefault="00690F33" w:rsidP="00690F33">
            <w:r w:rsidRPr="00690F33">
              <w:t>5 días</w:t>
            </w:r>
          </w:p>
        </w:tc>
      </w:tr>
    </w:tbl>
    <w:p w:rsidR="00690F33" w:rsidRPr="00690F33" w:rsidRDefault="00690F33" w:rsidP="00690F33">
      <w:r w:rsidRPr="00690F33">
        <w:pict>
          <v:rect id="_x0000_i1124" style="width:0;height:1.5pt" o:hralign="center" o:hrstd="t" o:hr="t" fillcolor="#a0a0a0" stroked="f"/>
        </w:pict>
      </w:r>
    </w:p>
    <w:p w:rsidR="00690F33" w:rsidRPr="00690F33" w:rsidRDefault="00690F33" w:rsidP="00690F33">
      <w:pPr>
        <w:rPr>
          <w:b/>
          <w:bCs/>
        </w:rPr>
      </w:pPr>
      <w:r w:rsidRPr="00690F33">
        <w:rPr>
          <w:b/>
          <w:bCs/>
        </w:rPr>
        <w:t>No incluye</w:t>
      </w:r>
    </w:p>
    <w:p w:rsidR="00690F33" w:rsidRPr="00690F33" w:rsidRDefault="00690F33" w:rsidP="00690F33">
      <w:r w:rsidRPr="00690F33">
        <w:t>Aéreos, propinas, tasas ecoturísticas, actividades opcionales u otros servicios no detallados.</w:t>
      </w:r>
    </w:p>
    <w:p w:rsidR="00690F33" w:rsidRPr="00690F33" w:rsidRDefault="00690F33" w:rsidP="00690F33">
      <w:r w:rsidRPr="00690F33">
        <w:pict>
          <v:rect id="_x0000_i1125" style="width:0;height:1.5pt" o:hralign="center" o:hrstd="t" o:hr="t" fillcolor="#a0a0a0" stroked="f"/>
        </w:pict>
      </w:r>
    </w:p>
    <w:p w:rsidR="00690F33" w:rsidRDefault="00690F33" w:rsidP="00690F33">
      <w:pPr>
        <w:rPr>
          <w:b/>
          <w:bCs/>
        </w:rPr>
      </w:pPr>
    </w:p>
    <w:p w:rsidR="00690F33" w:rsidRDefault="00690F33" w:rsidP="00690F33">
      <w:pPr>
        <w:rPr>
          <w:b/>
          <w:bCs/>
        </w:rPr>
      </w:pPr>
    </w:p>
    <w:p w:rsidR="00690F33" w:rsidRDefault="00690F33" w:rsidP="00690F33">
      <w:pPr>
        <w:rPr>
          <w:b/>
          <w:bCs/>
        </w:rPr>
      </w:pPr>
    </w:p>
    <w:p w:rsidR="00690F33" w:rsidRPr="00690F33" w:rsidRDefault="00690F33" w:rsidP="00690F33">
      <w:pPr>
        <w:rPr>
          <w:b/>
          <w:bCs/>
        </w:rPr>
      </w:pPr>
      <w:r w:rsidRPr="00690F33">
        <w:rPr>
          <w:b/>
          <w:bCs/>
          <w:i/>
          <w:iCs/>
          <w:u w:val="single"/>
        </w:rPr>
        <w:lastRenderedPageBreak/>
        <w:t>Condiciones de ventas</w:t>
      </w:r>
    </w:p>
    <w:p w:rsidR="00690F33" w:rsidRPr="00690F33" w:rsidRDefault="00690F33" w:rsidP="00690F33">
      <w:r w:rsidRPr="00690F33">
        <w:t xml:space="preserve">Tarifas sujetas a modificación y cambio sin previo aviso. </w:t>
      </w:r>
      <w:proofErr w:type="gramStart"/>
      <w:r>
        <w:t xml:space="preserve">Turar </w:t>
      </w:r>
      <w:r w:rsidRPr="00690F33">
        <w:t xml:space="preserve"> no</w:t>
      </w:r>
      <w:proofErr w:type="gramEnd"/>
      <w:r w:rsidRPr="00690F33">
        <w:t xml:space="preserve"> se hace responsable por la suspensión y/o cambio de fecha del evento. Las reservas se confirman con el pago total de la mismas, siendo un paquete no reembolsable con el 100% de penalidad.</w:t>
      </w:r>
    </w:p>
    <w:p w:rsidR="00690F33" w:rsidRPr="00690F33" w:rsidRDefault="00690F33" w:rsidP="00690F33">
      <w:r w:rsidRPr="00690F33">
        <w:t>Una reprogramación del evento por fuerza mayor de la organización no amerita reembolso del paquete.</w:t>
      </w:r>
    </w:p>
    <w:p w:rsidR="00690F33" w:rsidRPr="00690F33" w:rsidRDefault="00690F33" w:rsidP="00690F33">
      <w:r w:rsidRPr="00690F33">
        <w:t xml:space="preserve">Los Traslados IN-OUT Aeropuerto, cuando estén incluidos en el programa, contemplan 1 equipaje y 1 articulo personal por persona. Caso que el pasajero tenga más equipaje del indicado, deberá avisarlo con anticipación para poder </w:t>
      </w:r>
      <w:proofErr w:type="spellStart"/>
      <w:r w:rsidRPr="00690F33">
        <w:t>preveerlo</w:t>
      </w:r>
      <w:proofErr w:type="spellEnd"/>
      <w:r w:rsidRPr="00690F33">
        <w:t>.</w:t>
      </w:r>
    </w:p>
    <w:p w:rsidR="00690F33" w:rsidRPr="00690F33" w:rsidRDefault="00690F33" w:rsidP="00690F33">
      <w:pPr>
        <w:rPr>
          <w:b/>
          <w:bCs/>
        </w:rPr>
      </w:pPr>
    </w:p>
    <w:p w:rsidR="00690F33" w:rsidRPr="00690F33" w:rsidRDefault="00690F33" w:rsidP="00690F33">
      <w:pPr>
        <w:rPr>
          <w:b/>
          <w:bCs/>
        </w:rPr>
      </w:pPr>
      <w:r w:rsidRPr="00690F33">
        <w:rPr>
          <w:b/>
          <w:bCs/>
          <w:u w:val="single"/>
        </w:rPr>
        <w:t>Condiciones de Ticket</w:t>
      </w:r>
      <w:r w:rsidRPr="00690F33">
        <w:rPr>
          <w:b/>
          <w:bCs/>
        </w:rPr>
        <w:t>:</w:t>
      </w:r>
    </w:p>
    <w:p w:rsidR="00690F33" w:rsidRPr="00690F33" w:rsidRDefault="00690F33" w:rsidP="00690F33">
      <w:r w:rsidRPr="00690F33">
        <w:t xml:space="preserve">Las entradas pueden ser abonos, entradas físicas, electrónicas o para descargar mediante una app en el celular, con lo que se necesita que el cliente tenga celular con acceso a internet para poder enseñar la entrada descargada en el mismo en el caso sean electrónicas. </w:t>
      </w:r>
      <w:r>
        <w:t>Turar S.A.</w:t>
      </w:r>
      <w:r w:rsidRPr="00690F33">
        <w:t xml:space="preserve"> está exento de cualquier responsabilidad si los clientes no tienen smartphone en el caso de que sean tickets para descargar en alguna aplicación. </w:t>
      </w:r>
    </w:p>
    <w:p w:rsidR="00690F33" w:rsidRPr="00690F33" w:rsidRDefault="00690F33" w:rsidP="00690F33">
      <w:r w:rsidRPr="00690F33">
        <w:t xml:space="preserve">En caso de ser entradas físicas, </w:t>
      </w:r>
      <w:r>
        <w:t xml:space="preserve">Turar S.A. </w:t>
      </w:r>
      <w:r w:rsidRPr="00690F33">
        <w:t xml:space="preserve"> será </w:t>
      </w:r>
      <w:r>
        <w:t>el</w:t>
      </w:r>
      <w:r w:rsidRPr="00690F33">
        <w:t xml:space="preserve"> encargado</w:t>
      </w:r>
      <w:r>
        <w:t xml:space="preserve"> </w:t>
      </w:r>
      <w:r w:rsidRPr="00690F33">
        <w:t>de designar fecha y lugar de entrega, pudiendo ser la entrega, hasta el mismo día del partido. </w:t>
      </w:r>
    </w:p>
    <w:p w:rsidR="00690F33" w:rsidRPr="00690F33" w:rsidRDefault="00690F33" w:rsidP="00690F33">
      <w:r w:rsidRPr="00690F33">
        <w:t xml:space="preserve">Si las entradas fuesen físicas, se coordina lugar y horario de entrega en destino con los pasajeros a su llegada, si las entradas fuesen electrónicas, con QR, aplicación u otro medio </w:t>
      </w:r>
      <w:proofErr w:type="spellStart"/>
      <w:r w:rsidRPr="00690F33">
        <w:t>reenviable</w:t>
      </w:r>
      <w:proofErr w:type="spellEnd"/>
      <w:r w:rsidRPr="00690F33">
        <w:t xml:space="preserve"> se les hará llegar a los pasajeros en tiempo y forma para que puedan asistir al show, evento, partido, etc. En ambos casos, tanto envíos como entregas, los plazos pueden ser hasta 24hs antes del show, evento, partido, etc.</w:t>
      </w:r>
    </w:p>
    <w:p w:rsidR="00690F33" w:rsidRPr="00690F33" w:rsidRDefault="00690F33" w:rsidP="00690F33">
      <w:r w:rsidRPr="00690F33">
        <w:t>En el caso de ser entradas físicas, el precio que aparece en la misma no es vinculante con el precio de venta, ya que se incluyen gastos de gestión, envío-entrega, impuestos. El cliente acepta y consiente dicha compra, y en conocimiento de lo anteriormente mencionado, acepta la no posibilidad de reclamación alguna, respecto del precio. En el precio que nosotros informamos, incluimos gastos de gestión, envío-entrega, impuestos.</w:t>
      </w:r>
    </w:p>
    <w:p w:rsidR="00690F33" w:rsidRPr="00690F33" w:rsidRDefault="00690F33" w:rsidP="00690F33">
      <w:r w:rsidRPr="00690F33">
        <w:t>Garantizamos las entradas por parejas, de 2 en 2, pueden ser juntas en la misma fila, o en la fila por delante o por detrás, pero juntos. </w:t>
      </w:r>
    </w:p>
    <w:p w:rsidR="00690F33" w:rsidRPr="00690F33" w:rsidRDefault="00690F33" w:rsidP="00690F33">
      <w:r w:rsidRPr="00690F33">
        <w:t>Deben informar al momento de solicitar una reserva: datos completos del pasajero, copia del pasaporte y teléfono de contacto.</w:t>
      </w:r>
    </w:p>
    <w:p w:rsidR="00690F33" w:rsidRPr="00690F33" w:rsidRDefault="00690F33" w:rsidP="00690F33">
      <w:pPr>
        <w:rPr>
          <w:b/>
          <w:bCs/>
        </w:rPr>
      </w:pPr>
      <w:r w:rsidRPr="00690F33">
        <w:rPr>
          <w:b/>
          <w:bCs/>
        </w:rPr>
        <w:t>Reservas y consultas</w:t>
      </w:r>
    </w:p>
    <w:p w:rsidR="00690F33" w:rsidRPr="00690F33" w:rsidRDefault="00690F33" w:rsidP="00690F33">
      <w:r w:rsidRPr="00690F33">
        <w:rPr>
          <w:b/>
          <w:bCs/>
        </w:rPr>
        <w:t>Incoming@turar.com</w:t>
      </w:r>
    </w:p>
    <w:p w:rsidR="00690F33" w:rsidRPr="00690F33" w:rsidRDefault="00690F33" w:rsidP="00690F33"/>
    <w:sectPr w:rsidR="00690F33" w:rsidRPr="00690F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756DA"/>
    <w:multiLevelType w:val="multilevel"/>
    <w:tmpl w:val="3E7C9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3C5079"/>
    <w:multiLevelType w:val="multilevel"/>
    <w:tmpl w:val="041E6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8C655F"/>
    <w:multiLevelType w:val="multilevel"/>
    <w:tmpl w:val="73C00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6B3FCD"/>
    <w:multiLevelType w:val="multilevel"/>
    <w:tmpl w:val="BC628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7E503A"/>
    <w:multiLevelType w:val="multilevel"/>
    <w:tmpl w:val="E9589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3B0D94"/>
    <w:multiLevelType w:val="multilevel"/>
    <w:tmpl w:val="4F96C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213154">
    <w:abstractNumId w:val="2"/>
  </w:num>
  <w:num w:numId="2" w16cid:durableId="1458403512">
    <w:abstractNumId w:val="3"/>
  </w:num>
  <w:num w:numId="3" w16cid:durableId="939265854">
    <w:abstractNumId w:val="5"/>
  </w:num>
  <w:num w:numId="4" w16cid:durableId="1217472374">
    <w:abstractNumId w:val="1"/>
  </w:num>
  <w:num w:numId="5" w16cid:durableId="1359772793">
    <w:abstractNumId w:val="0"/>
  </w:num>
  <w:num w:numId="6" w16cid:durableId="20980130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680"/>
    <w:rsid w:val="00217AAA"/>
    <w:rsid w:val="00416F88"/>
    <w:rsid w:val="0053259F"/>
    <w:rsid w:val="00536AF6"/>
    <w:rsid w:val="00690F33"/>
    <w:rsid w:val="007D6489"/>
    <w:rsid w:val="00974AE7"/>
    <w:rsid w:val="00A539B7"/>
    <w:rsid w:val="00BC30B5"/>
    <w:rsid w:val="00E5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DBCE8"/>
  <w15:chartTrackingRefBased/>
  <w15:docId w15:val="{137DB90B-E354-4CC3-94E8-2813882E3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566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566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566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566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566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566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566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566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566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566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E566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566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5668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56680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5668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5668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5668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5668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566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566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566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566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566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5668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5668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56680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566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56680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566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5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67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1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8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62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2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76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88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50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6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48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64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16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026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5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13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3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90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5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9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134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4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16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06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5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53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98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4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44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84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94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4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234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50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4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878</Words>
  <Characters>4831</Characters>
  <Application>Microsoft Office Word</Application>
  <DocSecurity>0</DocSecurity>
  <Lines>40</Lines>
  <Paragraphs>11</Paragraphs>
  <ScaleCrop>false</ScaleCrop>
  <Company/>
  <LinksUpToDate>false</LinksUpToDate>
  <CharactersWithSpaces>5698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NancyB</dc:creator>
  <cp:keywords/>
  <dc:description/>
  <cp:lastModifiedBy>NancyB</cp:lastModifiedBy>
  <cp:revision>2</cp:revision>
  <dcterms:created xsi:type="dcterms:W3CDTF">2025-09-29T17:13:00Z</dcterms:created>
  <dcterms:modified xsi:type="dcterms:W3CDTF">2025-09-29T17:13:00Z</dcterms:modified>
</cp:coreProperties>
</file>