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183E" w:rsidRPr="00AE183E" w:rsidRDefault="00AE183E" w:rsidP="00AE183E">
      <w:pPr>
        <w:rPr>
          <w:b/>
          <w:bCs/>
          <w:sz w:val="40"/>
          <w:szCs w:val="40"/>
        </w:rPr>
      </w:pPr>
      <w:r w:rsidRPr="00AE183E">
        <w:rPr>
          <w:b/>
          <w:bCs/>
          <w:sz w:val="40"/>
          <w:szCs w:val="40"/>
        </w:rPr>
        <w:t>LINKIN PARK EN BS AS 'FROM ZERO WT'</w:t>
      </w:r>
    </w:p>
    <w:p w:rsidR="00AE183E" w:rsidRPr="00AE183E" w:rsidRDefault="00AE183E" w:rsidP="00AE183E">
      <w:pPr>
        <w:rPr>
          <w:b/>
          <w:bCs/>
          <w:sz w:val="40"/>
          <w:szCs w:val="40"/>
        </w:rPr>
      </w:pPr>
      <w:r w:rsidRPr="00AE183E">
        <w:rPr>
          <w:b/>
          <w:bCs/>
          <w:sz w:val="40"/>
          <w:szCs w:val="40"/>
        </w:rPr>
        <w:t>Parque de la Ciudad, Buenos Aires (Argentina)</w:t>
      </w:r>
    </w:p>
    <w:p w:rsidR="00AE183E" w:rsidRPr="00AE183E" w:rsidRDefault="00AE183E" w:rsidP="00AE183E">
      <w:pPr>
        <w:rPr>
          <w:b/>
          <w:bCs/>
          <w:sz w:val="40"/>
          <w:szCs w:val="40"/>
        </w:rPr>
      </w:pPr>
      <w:r w:rsidRPr="00AE183E">
        <w:rPr>
          <w:b/>
          <w:bCs/>
          <w:sz w:val="40"/>
          <w:szCs w:val="40"/>
        </w:rPr>
        <w:t>FECHA DEL EVENTO: 31 de octubre 2025</w:t>
      </w:r>
    </w:p>
    <w:p w:rsidR="00AE183E" w:rsidRDefault="00AE183E" w:rsidP="00AE183E">
      <w:pPr>
        <w:rPr>
          <w:i/>
          <w:iCs/>
        </w:rPr>
      </w:pPr>
      <w:r w:rsidRPr="00AE183E">
        <w:rPr>
          <w:i/>
          <w:iCs/>
        </w:rPr>
        <w:t>La fecha de los eventos puede variar, un día antes, un día después o hasta postergarse. Turar S.A. no es responsable por los cambios que pueda realizar la organización.</w:t>
      </w:r>
    </w:p>
    <w:p w:rsidR="00AE183E" w:rsidRPr="00AE183E" w:rsidRDefault="00AE183E" w:rsidP="00AE183E">
      <w:pPr>
        <w:rPr>
          <w:b/>
          <w:bCs/>
        </w:rPr>
      </w:pPr>
      <w:r w:rsidRPr="00AE183E">
        <w:rPr>
          <w:b/>
          <w:bCs/>
        </w:rPr>
        <w:t>CIUDAD</w:t>
      </w:r>
    </w:p>
    <w:p w:rsidR="00AE183E" w:rsidRPr="00AE183E" w:rsidRDefault="00AE183E" w:rsidP="00AE183E">
      <w:r>
        <w:rPr>
          <w:rFonts w:ascii="Calibri" w:hAnsi="Calibri" w:cs="Calibri"/>
          <w:b/>
          <w:bCs/>
          <w:noProof/>
          <w:color w:val="002060"/>
          <w:sz w:val="28"/>
          <w:szCs w:val="28"/>
          <w:bdr w:val="none" w:sz="0" w:space="0" w:color="auto" w:frame="1"/>
        </w:rPr>
        <w:drawing>
          <wp:anchor distT="0" distB="0" distL="114300" distR="114300" simplePos="0" relativeHeight="251658240" behindDoc="1" locked="0" layoutInCell="1" allowOverlap="1">
            <wp:simplePos x="0" y="0"/>
            <wp:positionH relativeFrom="column">
              <wp:posOffset>3455670</wp:posOffset>
            </wp:positionH>
            <wp:positionV relativeFrom="paragraph">
              <wp:posOffset>808355</wp:posOffset>
            </wp:positionV>
            <wp:extent cx="2819400" cy="2695575"/>
            <wp:effectExtent l="0" t="0" r="0" b="9525"/>
            <wp:wrapTight wrapText="bothSides">
              <wp:wrapPolygon edited="0">
                <wp:start x="0" y="0"/>
                <wp:lineTo x="0" y="21524"/>
                <wp:lineTo x="21454" y="21524"/>
                <wp:lineTo x="21454" y="0"/>
                <wp:lineTo x="0" y="0"/>
              </wp:wrapPolygon>
            </wp:wrapTight>
            <wp:docPr id="21446353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0"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83E">
        <w:rPr>
          <w:b/>
          <w:bCs/>
        </w:rPr>
        <w:t>Buenos Aires</w:t>
      </w:r>
      <w:r w:rsidRPr="00AE183E">
        <w:t>: Buenos Aires, la capital de Argentina, es una ciudad vibrante y cosmopolita conocida por su rico patrimonio cultural, arquitectura de influencia europea, apasionada escena de tango y deliciosa gastronomía. Explora barrios históricos como San Telmo y Recoleta, visita lugares emblemáticos como la Casa Rosada y el Obelisco, y sumérgete en la atmósfera única de la ciudad.</w:t>
      </w:r>
    </w:p>
    <w:p w:rsidR="00AE183E" w:rsidRPr="00AE183E" w:rsidRDefault="00AE183E" w:rsidP="00AE183E">
      <w:r w:rsidRPr="00AE183E">
        <w:rPr>
          <w:b/>
          <w:bCs/>
        </w:rPr>
        <w:t>ESTADIO</w:t>
      </w:r>
      <w:r w:rsidRPr="00AE183E">
        <w:rPr>
          <w:rFonts w:ascii="Calibri" w:hAnsi="Calibri" w:cs="Calibri"/>
          <w:b/>
          <w:bCs/>
          <w:color w:val="002060"/>
          <w:sz w:val="28"/>
          <w:szCs w:val="28"/>
          <w:bdr w:val="none" w:sz="0" w:space="0" w:color="auto" w:frame="1"/>
        </w:rPr>
        <w:t xml:space="preserve"> </w:t>
      </w:r>
    </w:p>
    <w:p w:rsidR="00AE183E" w:rsidRPr="00AE183E" w:rsidRDefault="00AE183E" w:rsidP="00AE183E">
      <w:r w:rsidRPr="00AE183E">
        <w:rPr>
          <w:b/>
          <w:bCs/>
        </w:rPr>
        <w:t>Parque de la Ciudad:</w:t>
      </w:r>
      <w:r w:rsidRPr="00AE183E">
        <w:t xml:space="preserve"> El Parque de la Ciudad es un gran parque de diversiones y un lugar de entretenimiento ubicado en Buenos Aires. Alberga diversos eventos, incluyendo conciertos y festivales, convirtiéndolo en un destino popular tanto para los lugareños como para los turistas.</w:t>
      </w:r>
    </w:p>
    <w:p w:rsidR="00AE183E" w:rsidRPr="00AE183E" w:rsidRDefault="00AE183E" w:rsidP="00AE183E"/>
    <w:p w:rsidR="00AE183E" w:rsidRPr="00AE183E" w:rsidRDefault="00AE183E" w:rsidP="00AE183E">
      <w:r w:rsidRPr="00AE183E">
        <w:rPr>
          <w:b/>
          <w:bCs/>
        </w:rPr>
        <w:t>ITINERARIO</w:t>
      </w:r>
    </w:p>
    <w:p w:rsidR="00AE183E" w:rsidRPr="00AE183E" w:rsidRDefault="00AE183E" w:rsidP="00AE183E">
      <w:pPr>
        <w:numPr>
          <w:ilvl w:val="0"/>
          <w:numId w:val="1"/>
        </w:numPr>
      </w:pPr>
      <w:r w:rsidRPr="00AE183E">
        <w:rPr>
          <w:b/>
          <w:bCs/>
        </w:rPr>
        <w:t>Día 1:</w:t>
      </w:r>
      <w:r w:rsidRPr="00AE183E">
        <w:t> Llegada a Buenos Aires, traslado al hotel seleccionado.</w:t>
      </w:r>
    </w:p>
    <w:p w:rsidR="00AE183E" w:rsidRPr="00AE183E" w:rsidRDefault="00AE183E" w:rsidP="00AE183E">
      <w:pPr>
        <w:numPr>
          <w:ilvl w:val="0"/>
          <w:numId w:val="1"/>
        </w:numPr>
      </w:pPr>
      <w:r w:rsidRPr="00AE183E">
        <w:rPr>
          <w:b/>
          <w:bCs/>
        </w:rPr>
        <w:t>Día 2:</w:t>
      </w:r>
      <w:r w:rsidRPr="00AE183E">
        <w:t> Día libre para explorar Buenos Aires.</w:t>
      </w:r>
    </w:p>
    <w:p w:rsidR="00AE183E" w:rsidRPr="00AE183E" w:rsidRDefault="00AE183E" w:rsidP="00AE183E">
      <w:pPr>
        <w:numPr>
          <w:ilvl w:val="0"/>
          <w:numId w:val="1"/>
        </w:numPr>
      </w:pPr>
      <w:r w:rsidRPr="00AE183E">
        <w:rPr>
          <w:b/>
          <w:bCs/>
        </w:rPr>
        <w:t>Día 3:</w:t>
      </w:r>
      <w:r w:rsidRPr="00AE183E">
        <w:t> Traslado al Parque de la Ciudad para el concierto de Linkin Park. Traslado de regreso al hotel.</w:t>
      </w:r>
    </w:p>
    <w:p w:rsidR="00AE183E" w:rsidRDefault="00AE183E" w:rsidP="00AE183E">
      <w:pPr>
        <w:numPr>
          <w:ilvl w:val="0"/>
          <w:numId w:val="1"/>
        </w:numPr>
      </w:pPr>
      <w:r w:rsidRPr="00AE183E">
        <w:rPr>
          <w:b/>
          <w:bCs/>
        </w:rPr>
        <w:t>Día 4:</w:t>
      </w:r>
      <w:r w:rsidRPr="00AE183E">
        <w:t> Traslado al aeropuerto para la salida.</w:t>
      </w:r>
    </w:p>
    <w:p w:rsidR="00AE183E" w:rsidRPr="00AE183E" w:rsidRDefault="00AE183E" w:rsidP="00AE183E">
      <w:pPr>
        <w:ind w:left="720"/>
      </w:pPr>
    </w:p>
    <w:p w:rsidR="00AE183E" w:rsidRPr="00AE183E" w:rsidRDefault="00AE183E" w:rsidP="00AE183E">
      <w:r w:rsidRPr="00AE183E">
        <w:rPr>
          <w:b/>
          <w:bCs/>
        </w:rPr>
        <w:t>SERVICIOS INCLUIDOS</w:t>
      </w:r>
    </w:p>
    <w:p w:rsidR="00AE183E" w:rsidRPr="00AE183E" w:rsidRDefault="00AE183E" w:rsidP="00AE183E">
      <w:pPr>
        <w:numPr>
          <w:ilvl w:val="0"/>
          <w:numId w:val="2"/>
        </w:numPr>
      </w:pPr>
      <w:r w:rsidRPr="00AE183E">
        <w:t xml:space="preserve">Traslado In / </w:t>
      </w:r>
      <w:proofErr w:type="spellStart"/>
      <w:r w:rsidRPr="00AE183E">
        <w:t>Out</w:t>
      </w:r>
      <w:proofErr w:type="spellEnd"/>
      <w:r w:rsidRPr="00AE183E">
        <w:t xml:space="preserve"> Aeroparque</w:t>
      </w:r>
    </w:p>
    <w:p w:rsidR="00AE183E" w:rsidRPr="00AE183E" w:rsidRDefault="00AE183E" w:rsidP="00AE183E">
      <w:pPr>
        <w:numPr>
          <w:ilvl w:val="0"/>
          <w:numId w:val="2"/>
        </w:numPr>
      </w:pPr>
      <w:r w:rsidRPr="00AE183E">
        <w:t>02 noches de alojamiento con desayuno en hotel seleccionado (ingreso el día previo a la función)</w:t>
      </w:r>
    </w:p>
    <w:p w:rsidR="00AE183E" w:rsidRPr="00AE183E" w:rsidRDefault="00AE183E" w:rsidP="00AE183E">
      <w:pPr>
        <w:numPr>
          <w:ilvl w:val="0"/>
          <w:numId w:val="2"/>
        </w:numPr>
      </w:pPr>
      <w:r w:rsidRPr="00AE183E">
        <w:t>Traslados Ida y Vuelta al evento desde hotel céntrico o punto de encuentro</w:t>
      </w:r>
    </w:p>
    <w:p w:rsidR="00AE183E" w:rsidRPr="00AE183E" w:rsidRDefault="00AE183E" w:rsidP="00AE183E">
      <w:pPr>
        <w:numPr>
          <w:ilvl w:val="0"/>
          <w:numId w:val="2"/>
        </w:numPr>
      </w:pPr>
      <w:r w:rsidRPr="00AE183E">
        <w:t>Entrada para la función seleccionada en CAMPO GENERAL</w:t>
      </w:r>
    </w:p>
    <w:p w:rsidR="00AE183E" w:rsidRPr="00AE183E" w:rsidRDefault="00AE183E" w:rsidP="00AE183E">
      <w:pPr>
        <w:numPr>
          <w:ilvl w:val="0"/>
          <w:numId w:val="2"/>
        </w:numPr>
      </w:pPr>
      <w:r w:rsidRPr="00AE183E">
        <w:t>Cortesía especial de 01 botella de vino por habitación</w:t>
      </w:r>
    </w:p>
    <w:p w:rsidR="00AE183E" w:rsidRPr="00AE183E" w:rsidRDefault="00AE183E" w:rsidP="00AE183E">
      <w:pPr>
        <w:numPr>
          <w:ilvl w:val="0"/>
          <w:numId w:val="2"/>
        </w:numPr>
      </w:pPr>
      <w:r w:rsidRPr="00AE183E">
        <w:t xml:space="preserve">Asistencia al viajero </w:t>
      </w:r>
      <w:proofErr w:type="spellStart"/>
      <w:r w:rsidRPr="00AE183E">
        <w:t>Interassist</w:t>
      </w:r>
      <w:proofErr w:type="spellEnd"/>
      <w:r w:rsidRPr="00AE183E">
        <w:t xml:space="preserve"> INTER 60*</w:t>
      </w:r>
    </w:p>
    <w:p w:rsidR="00AE183E" w:rsidRPr="00AE183E" w:rsidRDefault="00AE183E" w:rsidP="00AE183E">
      <w:r w:rsidRPr="00AE183E">
        <w:rPr>
          <w:b/>
          <w:bCs/>
        </w:rPr>
        <w:t>NO INCLUYE:</w:t>
      </w:r>
      <w:r w:rsidRPr="00AE183E">
        <w:t xml:space="preserve"> aéreos, propinas, tasas ecoturísticas, actividades opcionales u otros servicios no detallados.</w:t>
      </w:r>
    </w:p>
    <w:p w:rsidR="00AE183E" w:rsidRPr="00AE183E" w:rsidRDefault="00AE183E" w:rsidP="00AE183E">
      <w:r w:rsidRPr="00AE183E">
        <w:rPr>
          <w:b/>
          <w:bCs/>
        </w:rPr>
        <w:lastRenderedPageBreak/>
        <w:t>PRECIO POR PERSONA SEGÚN BASE SELECCIONADA. COMISIONABLES 10%.</w:t>
      </w:r>
    </w:p>
    <w:tbl>
      <w:tblPr>
        <w:tblW w:w="10404" w:type="dxa"/>
        <w:tblCellSpacing w:w="15" w:type="dxa"/>
        <w:shd w:val="clear" w:color="auto" w:fill="FCFBFB"/>
        <w:tblCellMar>
          <w:left w:w="0" w:type="dxa"/>
          <w:right w:w="0" w:type="dxa"/>
        </w:tblCellMar>
        <w:tblLook w:val="04A0" w:firstRow="1" w:lastRow="0" w:firstColumn="1" w:lastColumn="0" w:noHBand="0" w:noVBand="1"/>
      </w:tblPr>
      <w:tblGrid>
        <w:gridCol w:w="4158"/>
        <w:gridCol w:w="1663"/>
        <w:gridCol w:w="1434"/>
        <w:gridCol w:w="1700"/>
        <w:gridCol w:w="1449"/>
      </w:tblGrid>
      <w:tr w:rsidR="00AE183E" w:rsidRPr="00AE183E" w:rsidTr="00AE183E">
        <w:trPr>
          <w:tblHeader/>
          <w:tblCellSpacing w:w="15" w:type="dxa"/>
        </w:trPr>
        <w:tc>
          <w:tcPr>
            <w:tcW w:w="0" w:type="auto"/>
            <w:tcBorders>
              <w:top w:val="single" w:sz="6" w:space="0" w:color="E7E7E7"/>
              <w:left w:val="single" w:sz="6"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AE183E" w:rsidRPr="00AE183E" w:rsidRDefault="00AE183E" w:rsidP="00AE183E">
            <w:pPr>
              <w:rPr>
                <w:b/>
                <w:bCs/>
              </w:rPr>
            </w:pPr>
            <w:r w:rsidRPr="00AE183E">
              <w:rPr>
                <w:b/>
                <w:bCs/>
              </w:rPr>
              <w:t>HOTEL</w:t>
            </w:r>
          </w:p>
        </w:tc>
        <w:tc>
          <w:tcPr>
            <w:tcW w:w="0" w:type="auto"/>
            <w:tcBorders>
              <w:top w:val="single" w:sz="6" w:space="0" w:color="E7E7E7"/>
              <w:left w:val="single" w:sz="2"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AE183E" w:rsidRPr="00AE183E" w:rsidRDefault="00AE183E" w:rsidP="00AE183E">
            <w:pPr>
              <w:rPr>
                <w:b/>
                <w:bCs/>
              </w:rPr>
            </w:pPr>
            <w:r w:rsidRPr="00AE183E">
              <w:rPr>
                <w:b/>
                <w:bCs/>
              </w:rPr>
              <w:t>BASE DOBLE</w:t>
            </w:r>
          </w:p>
        </w:tc>
        <w:tc>
          <w:tcPr>
            <w:tcW w:w="0" w:type="auto"/>
            <w:tcBorders>
              <w:top w:val="single" w:sz="6" w:space="0" w:color="E7E7E7"/>
              <w:left w:val="single" w:sz="2"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AE183E" w:rsidRPr="00AE183E" w:rsidRDefault="00AE183E" w:rsidP="00AE183E">
            <w:pPr>
              <w:rPr>
                <w:b/>
                <w:bCs/>
              </w:rPr>
            </w:pPr>
            <w:r w:rsidRPr="00AE183E">
              <w:rPr>
                <w:b/>
                <w:bCs/>
              </w:rPr>
              <w:t>NT EXTRA</w:t>
            </w:r>
          </w:p>
        </w:tc>
        <w:tc>
          <w:tcPr>
            <w:tcW w:w="0" w:type="auto"/>
            <w:tcBorders>
              <w:top w:val="single" w:sz="6" w:space="0" w:color="E7E7E7"/>
              <w:left w:val="single" w:sz="2"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AE183E" w:rsidRPr="00AE183E" w:rsidRDefault="00AE183E" w:rsidP="00AE183E">
            <w:pPr>
              <w:rPr>
                <w:b/>
                <w:bCs/>
              </w:rPr>
            </w:pPr>
            <w:r w:rsidRPr="00AE183E">
              <w:rPr>
                <w:b/>
                <w:bCs/>
              </w:rPr>
              <w:t>BASE SINGLE</w:t>
            </w:r>
          </w:p>
        </w:tc>
        <w:tc>
          <w:tcPr>
            <w:tcW w:w="0" w:type="auto"/>
            <w:tcBorders>
              <w:top w:val="single" w:sz="6" w:space="0" w:color="E7E7E7"/>
              <w:left w:val="single" w:sz="2"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AE183E" w:rsidRPr="00AE183E" w:rsidRDefault="00AE183E" w:rsidP="00AE183E">
            <w:pPr>
              <w:rPr>
                <w:b/>
                <w:bCs/>
              </w:rPr>
            </w:pPr>
            <w:r w:rsidRPr="00AE183E">
              <w:rPr>
                <w:b/>
                <w:bCs/>
              </w:rPr>
              <w:t>NT EXTRA</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Waldorf 3* o similar</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406</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48</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628</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95</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proofErr w:type="spellStart"/>
            <w:r w:rsidRPr="00AE183E">
              <w:t>Dazzler</w:t>
            </w:r>
            <w:proofErr w:type="spellEnd"/>
            <w:r w:rsidRPr="00AE183E">
              <w:t xml:space="preserve"> </w:t>
            </w:r>
            <w:proofErr w:type="spellStart"/>
            <w:r w:rsidRPr="00AE183E">
              <w:t>by</w:t>
            </w:r>
            <w:proofErr w:type="spellEnd"/>
            <w:r w:rsidRPr="00AE183E">
              <w:t xml:space="preserve"> Wyndham Maipú 4* o similar</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459</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77</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736</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153</w:t>
            </w:r>
          </w:p>
        </w:tc>
      </w:tr>
    </w:tbl>
    <w:p w:rsidR="00AE183E" w:rsidRPr="00AE183E" w:rsidRDefault="00AE183E" w:rsidP="00AE183E">
      <w:r w:rsidRPr="00AE183E">
        <w:rPr>
          <w:b/>
          <w:bCs/>
        </w:rPr>
        <w:t xml:space="preserve">ADICIONALES </w:t>
      </w:r>
    </w:p>
    <w:tbl>
      <w:tblPr>
        <w:tblW w:w="10404" w:type="dxa"/>
        <w:tblCellSpacing w:w="15" w:type="dxa"/>
        <w:shd w:val="clear" w:color="auto" w:fill="FCFBFB"/>
        <w:tblCellMar>
          <w:left w:w="0" w:type="dxa"/>
          <w:right w:w="0" w:type="dxa"/>
        </w:tblCellMar>
        <w:tblLook w:val="04A0" w:firstRow="1" w:lastRow="0" w:firstColumn="1" w:lastColumn="0" w:noHBand="0" w:noVBand="1"/>
      </w:tblPr>
      <w:tblGrid>
        <w:gridCol w:w="5310"/>
        <w:gridCol w:w="5094"/>
      </w:tblGrid>
      <w:tr w:rsidR="00AE183E" w:rsidRPr="00AE183E" w:rsidTr="00AE183E">
        <w:trPr>
          <w:tblHeader/>
          <w:tblCellSpacing w:w="15" w:type="dxa"/>
        </w:trPr>
        <w:tc>
          <w:tcPr>
            <w:tcW w:w="0" w:type="auto"/>
            <w:tcBorders>
              <w:top w:val="single" w:sz="6" w:space="0" w:color="E7E7E7"/>
              <w:left w:val="single" w:sz="6"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AE183E" w:rsidRPr="00AE183E" w:rsidRDefault="00AE183E" w:rsidP="00AE183E">
            <w:pPr>
              <w:rPr>
                <w:b/>
                <w:bCs/>
              </w:rPr>
            </w:pPr>
            <w:r w:rsidRPr="00AE183E">
              <w:rPr>
                <w:b/>
                <w:bCs/>
              </w:rPr>
              <w:t>UPGRADE DE ENTRADA</w:t>
            </w:r>
          </w:p>
        </w:tc>
        <w:tc>
          <w:tcPr>
            <w:tcW w:w="0" w:type="auto"/>
            <w:tcBorders>
              <w:top w:val="single" w:sz="6" w:space="0" w:color="E7E7E7"/>
              <w:left w:val="single" w:sz="2"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AE183E" w:rsidRPr="00AE183E" w:rsidRDefault="00AE183E" w:rsidP="00AE183E">
            <w:pPr>
              <w:rPr>
                <w:b/>
                <w:bCs/>
              </w:rPr>
            </w:pPr>
            <w:r w:rsidRPr="00AE183E">
              <w:rPr>
                <w:b/>
                <w:bCs/>
              </w:rPr>
              <w:t>PRECIO POR PERSONA</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CAMPO DELANTERO</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153</w:t>
            </w:r>
          </w:p>
        </w:tc>
      </w:tr>
    </w:tbl>
    <w:p w:rsidR="00AE183E" w:rsidRPr="00AE183E" w:rsidRDefault="00AE183E" w:rsidP="00AE183E">
      <w:r w:rsidRPr="00AE183E">
        <w:rPr>
          <w:b/>
          <w:bCs/>
        </w:rPr>
        <w:t>RESERVAS Y CONSULTAS</w:t>
      </w:r>
    </w:p>
    <w:p w:rsidR="00AE183E" w:rsidRPr="00AE183E" w:rsidRDefault="00AE183E" w:rsidP="00AE183E">
      <w:r w:rsidRPr="00AE183E">
        <w:t xml:space="preserve">Reservas y consultas: consulta con nuestro equipo al mail </w:t>
      </w:r>
      <w:hyperlink r:id="rId6" w:history="1">
        <w:r w:rsidRPr="00AE183E">
          <w:rPr>
            <w:rStyle w:val="Hipervnculo"/>
            <w:b/>
            <w:bCs/>
          </w:rPr>
          <w:t>incoming@turar.com</w:t>
        </w:r>
      </w:hyperlink>
    </w:p>
    <w:p w:rsidR="00AE183E" w:rsidRPr="00AE183E" w:rsidRDefault="00AE183E" w:rsidP="00AE183E">
      <w:r w:rsidRPr="00AE183E">
        <w:rPr>
          <w:b/>
          <w:bCs/>
        </w:rPr>
        <w:t>Condiciones de ventas</w:t>
      </w:r>
    </w:p>
    <w:p w:rsidR="00AE183E" w:rsidRPr="00AE183E" w:rsidRDefault="00AE183E" w:rsidP="00AE183E">
      <w:r w:rsidRPr="00AE183E">
        <w:t>Tarifas sujetas a modificación y cambio sin previo aviso. Turar S.A. no se hace responsable por la suspensión y/o cambio de fecha del evento. Las reservas se confirman con el pago total de la mismas, siendo un paquete no reembolsable con el 100% de penalidad. Una reprogramación del evento por fuerza mayor de la organización no amerita reembolso del paquete.</w:t>
      </w:r>
    </w:p>
    <w:p w:rsidR="00AE183E" w:rsidRPr="00AE183E" w:rsidRDefault="00AE183E" w:rsidP="00AE183E">
      <w:r w:rsidRPr="00AE183E">
        <w:t xml:space="preserve">Los Traslados IN-OUT Aeropuerto, cuando estén incluidos en el programa, contemplan 1 equipaje y 1 articulo personal por persona. Caso que el pasajero tenga </w:t>
      </w:r>
      <w:proofErr w:type="spellStart"/>
      <w:r w:rsidRPr="00AE183E">
        <w:t>mas</w:t>
      </w:r>
      <w:proofErr w:type="spellEnd"/>
      <w:r w:rsidRPr="00AE183E">
        <w:t xml:space="preserve"> equipaje del indicado, deberá avisarlo con anticipación para poder </w:t>
      </w:r>
      <w:proofErr w:type="spellStart"/>
      <w:r w:rsidRPr="00AE183E">
        <w:t>preveerlo</w:t>
      </w:r>
      <w:proofErr w:type="spellEnd"/>
      <w:r w:rsidRPr="00AE183E">
        <w:t>.</w:t>
      </w:r>
    </w:p>
    <w:p w:rsidR="00AE183E" w:rsidRPr="00AE183E" w:rsidRDefault="00AE183E" w:rsidP="00AE183E">
      <w:r w:rsidRPr="00AE183E">
        <w:rPr>
          <w:b/>
          <w:bCs/>
        </w:rPr>
        <w:t>Condiciones de Ticket:</w:t>
      </w:r>
    </w:p>
    <w:p w:rsidR="00AE183E" w:rsidRPr="00AE183E" w:rsidRDefault="00AE183E" w:rsidP="00AE183E">
      <w:r w:rsidRPr="00AE183E">
        <w:t>Las entradas pueden ser abonos, entradas físicas, electrónicas o para descargar mediante una app en el celular (</w:t>
      </w:r>
      <w:proofErr w:type="spellStart"/>
      <w:r w:rsidRPr="00AE183E">
        <w:t>pass</w:t>
      </w:r>
      <w:proofErr w:type="spellEnd"/>
      <w:r w:rsidRPr="00AE183E">
        <w:t xml:space="preserve"> </w:t>
      </w:r>
      <w:proofErr w:type="spellStart"/>
      <w:r w:rsidRPr="00AE183E">
        <w:t>wallet</w:t>
      </w:r>
      <w:proofErr w:type="spellEnd"/>
      <w:r w:rsidRPr="00AE183E">
        <w:t xml:space="preserve">, </w:t>
      </w:r>
      <w:proofErr w:type="spellStart"/>
      <w:r w:rsidRPr="00AE183E">
        <w:t>etc</w:t>
      </w:r>
      <w:proofErr w:type="spellEnd"/>
      <w:r w:rsidRPr="00AE183E">
        <w:t>), con lo que se necesita que el cliente tenga celular con acceso a internet para poder enseñar la entrada descargada en el mismo. Turar S.A. está exento de cualquier responsabilidad si los clientes no tienen smartphone en el caso de que sean tickets para descargar en la app.</w:t>
      </w:r>
    </w:p>
    <w:p w:rsidR="00AE183E" w:rsidRPr="00AE183E" w:rsidRDefault="00AE183E" w:rsidP="00AE183E">
      <w:r w:rsidRPr="00AE183E">
        <w:t xml:space="preserve">Si las entradas fuesen físicas, se coordina lugar y horario de entrega en destino con los pasajeros a su llegada, si las entradas fuesen electrónicas, con QR, aplicación u otro medio </w:t>
      </w:r>
      <w:proofErr w:type="spellStart"/>
      <w:r w:rsidRPr="00AE183E">
        <w:t>reenviable</w:t>
      </w:r>
      <w:proofErr w:type="spellEnd"/>
      <w:r w:rsidRPr="00AE183E">
        <w:t xml:space="preserve"> se les hará llegar a los pasajeros en tiempo y forma para que puedan asistir al show, evento, partido, etc. En ambos casos, tanto envíos como entregas, los plazos pueden ser hasta 24hs antes del show, evento, partido, etc.</w:t>
      </w:r>
    </w:p>
    <w:p w:rsidR="00AE183E" w:rsidRPr="00AE183E" w:rsidRDefault="00AE183E" w:rsidP="00AE183E">
      <w:r w:rsidRPr="00AE183E">
        <w:t>En caso de ser entradas físicas, Turar S.A. será la empresa que designe fecha y lugar de entrega. En el caso de ser entradas, el precio que aparece en la misma no es vinculante con el precio de venta, ya que se incluyen gastos de gestión, envío-entrega, impuestos. El cliente acepta y consiente dicha compra, y en conocimiento de lo anteriormente mencionado, acepta la no posibilidad de reclamación alguna, respecto del precio. En el precio que nosotros informamos, incluimos gastos de gestión, envío-entrega, impuestos.</w:t>
      </w:r>
    </w:p>
    <w:p w:rsidR="00AE183E" w:rsidRPr="00AE183E" w:rsidRDefault="00AE183E" w:rsidP="00AE183E">
      <w:r w:rsidRPr="00AE183E">
        <w:t>Garantizamos las entradas por parejas, de 2 en 2, pueden ser juntas en la misma fila, o en la fila por delante o por detrás, pero juntos.</w:t>
      </w:r>
    </w:p>
    <w:p w:rsidR="00AE183E" w:rsidRPr="00AE183E" w:rsidRDefault="00AE183E" w:rsidP="00AE183E">
      <w:r w:rsidRPr="00AE183E">
        <w:lastRenderedPageBreak/>
        <w:t>Deben informar al momento de solicitar una reserva: datos completos del pasajero, copia del pasaporte y teléfono de contacto.</w:t>
      </w:r>
    </w:p>
    <w:p w:rsidR="00AE183E" w:rsidRPr="00AE183E" w:rsidRDefault="00AE183E" w:rsidP="00AE183E">
      <w:r w:rsidRPr="00AE183E">
        <w:rPr>
          <w:b/>
          <w:bCs/>
        </w:rPr>
        <w:t>CUADRO DE ASISTENCIA INTERASSIST INTER 60</w:t>
      </w:r>
    </w:p>
    <w:tbl>
      <w:tblPr>
        <w:tblW w:w="10404" w:type="dxa"/>
        <w:tblCellSpacing w:w="15" w:type="dxa"/>
        <w:shd w:val="clear" w:color="auto" w:fill="FCFBFB"/>
        <w:tblCellMar>
          <w:left w:w="0" w:type="dxa"/>
          <w:right w:w="0" w:type="dxa"/>
        </w:tblCellMar>
        <w:tblLook w:val="04A0" w:firstRow="1" w:lastRow="0" w:firstColumn="1" w:lastColumn="0" w:noHBand="0" w:noVBand="1"/>
      </w:tblPr>
      <w:tblGrid>
        <w:gridCol w:w="7183"/>
        <w:gridCol w:w="3221"/>
      </w:tblGrid>
      <w:tr w:rsidR="00AE183E" w:rsidRPr="00AE183E" w:rsidTr="00AE183E">
        <w:trPr>
          <w:tblHeader/>
          <w:tblCellSpacing w:w="15" w:type="dxa"/>
        </w:trPr>
        <w:tc>
          <w:tcPr>
            <w:tcW w:w="0" w:type="auto"/>
            <w:tcBorders>
              <w:top w:val="single" w:sz="6" w:space="0" w:color="E7E7E7"/>
              <w:left w:val="single" w:sz="6"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AE183E" w:rsidRPr="00AE183E" w:rsidRDefault="00AE183E" w:rsidP="00AE183E">
            <w:pPr>
              <w:rPr>
                <w:b/>
                <w:bCs/>
              </w:rPr>
            </w:pPr>
            <w:r w:rsidRPr="00AE183E">
              <w:rPr>
                <w:b/>
                <w:bCs/>
              </w:rPr>
              <w:t>Coberturas y servicios</w:t>
            </w:r>
          </w:p>
        </w:tc>
        <w:tc>
          <w:tcPr>
            <w:tcW w:w="0" w:type="auto"/>
            <w:tcBorders>
              <w:top w:val="single" w:sz="6" w:space="0" w:color="E7E7E7"/>
              <w:left w:val="single" w:sz="2"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AE183E" w:rsidRPr="00AE183E" w:rsidRDefault="00AE183E" w:rsidP="00AE183E">
            <w:pPr>
              <w:rPr>
                <w:b/>
                <w:bCs/>
              </w:rPr>
            </w:pPr>
            <w:r w:rsidRPr="00AE183E">
              <w:rPr>
                <w:b/>
                <w:bCs/>
              </w:rPr>
              <w:t>Monto</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Cobertura global máxima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60.000</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Asistencia médica en caso de enfermedad y/o accidente</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60.000</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Medicamentos</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2.000</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Asistencia médica en caso de preexistencia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3.000</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Odontología de urgencia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500</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Gastos de hotel por convalecencia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500</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Días complementarios por internación</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5 días</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Traslado sanitario</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Incluido</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Repatriación sanitaria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Incluido</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Repatriación funeraria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Incluido</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Traslado de familiar por hospitalización del beneficiario</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proofErr w:type="spellStart"/>
            <w:r w:rsidRPr="00AE183E">
              <w:t>Tkt</w:t>
            </w:r>
            <w:proofErr w:type="spellEnd"/>
            <w:r w:rsidRPr="00AE183E">
              <w:t xml:space="preserve"> Aéreo/Alojamiento</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Viaje de regreso por fallecimiento de un familiar</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proofErr w:type="spellStart"/>
            <w:r w:rsidRPr="00AE183E">
              <w:t>Tkt</w:t>
            </w:r>
            <w:proofErr w:type="spellEnd"/>
            <w:r w:rsidRPr="00AE183E">
              <w:t xml:space="preserve"> Aéreo</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Viaje de regreso por siniestro en domicilio del beneficiario</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proofErr w:type="spellStart"/>
            <w:r w:rsidRPr="00AE183E">
              <w:t>Tkt</w:t>
            </w:r>
            <w:proofErr w:type="spellEnd"/>
            <w:r w:rsidRPr="00AE183E">
              <w:t xml:space="preserve"> Aéreo</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Acompañamiento de menores</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Incluido</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Localización en caso de pérdida de equipaje</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Incluido</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lastRenderedPageBreak/>
              <w:t>Indemnización complementaria por pérdida de equipaje</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1.200</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Compensación por demora en la devolución del equipaje</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400</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Gastos de cancelación / interrupción con causa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1.000</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Cancelación Premium</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600</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Gastos por vuelo demorado o cancelado (mínimo 6 horas)</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200</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Transferencia de fondos</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4.000</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Asistencia legal por accidente de tránsito</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4.000</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Transferencia de fondos para fianza legal</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15.000</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Asistencia en caso de extravío de documentación</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Incluido</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Línea de consulta / información</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Incluido</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Sustitución de ejecutivo</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Incluido</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Rotura de equipaje</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USD 25</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Cobertura Geográfica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Mundial</w:t>
            </w:r>
          </w:p>
        </w:tc>
      </w:tr>
      <w:tr w:rsidR="00AE183E" w:rsidRPr="00AE183E" w:rsidTr="00AE183E">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Mínimo días por viaje</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AE183E" w:rsidRPr="00AE183E" w:rsidRDefault="00AE183E" w:rsidP="00AE183E">
            <w:r w:rsidRPr="00AE183E">
              <w:t>5 días</w:t>
            </w:r>
          </w:p>
        </w:tc>
      </w:tr>
    </w:tbl>
    <w:p w:rsidR="0053259F" w:rsidRDefault="0053259F" w:rsidP="00AE183E">
      <w:pPr>
        <w:ind w:left="-142"/>
      </w:pPr>
    </w:p>
    <w:sectPr w:rsidR="0053259F" w:rsidSect="00AE183E">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1788"/>
    <w:multiLevelType w:val="multilevel"/>
    <w:tmpl w:val="D10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FA02BF"/>
    <w:multiLevelType w:val="multilevel"/>
    <w:tmpl w:val="0400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4658955">
    <w:abstractNumId w:val="1"/>
  </w:num>
  <w:num w:numId="2" w16cid:durableId="64280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3E"/>
    <w:rsid w:val="00426042"/>
    <w:rsid w:val="0053259F"/>
    <w:rsid w:val="007D6489"/>
    <w:rsid w:val="00AE183E"/>
    <w:rsid w:val="00BC30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DABA"/>
  <w15:chartTrackingRefBased/>
  <w15:docId w15:val="{E04CDE93-EB55-443F-913A-80316ED4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18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E18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E183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E183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E183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E183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183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183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183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183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E183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E183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E183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E183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E183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183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183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183E"/>
    <w:rPr>
      <w:rFonts w:eastAsiaTheme="majorEastAsia" w:cstheme="majorBidi"/>
      <w:color w:val="272727" w:themeColor="text1" w:themeTint="D8"/>
    </w:rPr>
  </w:style>
  <w:style w:type="paragraph" w:styleId="Ttulo">
    <w:name w:val="Title"/>
    <w:basedOn w:val="Normal"/>
    <w:next w:val="Normal"/>
    <w:link w:val="TtuloCar"/>
    <w:uiPriority w:val="10"/>
    <w:qFormat/>
    <w:rsid w:val="00AE18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183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183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183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183E"/>
    <w:pPr>
      <w:spacing w:before="160"/>
      <w:jc w:val="center"/>
    </w:pPr>
    <w:rPr>
      <w:i/>
      <w:iCs/>
      <w:color w:val="404040" w:themeColor="text1" w:themeTint="BF"/>
    </w:rPr>
  </w:style>
  <w:style w:type="character" w:customStyle="1" w:styleId="CitaCar">
    <w:name w:val="Cita Car"/>
    <w:basedOn w:val="Fuentedeprrafopredeter"/>
    <w:link w:val="Cita"/>
    <w:uiPriority w:val="29"/>
    <w:rsid w:val="00AE183E"/>
    <w:rPr>
      <w:i/>
      <w:iCs/>
      <w:color w:val="404040" w:themeColor="text1" w:themeTint="BF"/>
    </w:rPr>
  </w:style>
  <w:style w:type="paragraph" w:styleId="Prrafodelista">
    <w:name w:val="List Paragraph"/>
    <w:basedOn w:val="Normal"/>
    <w:uiPriority w:val="34"/>
    <w:qFormat/>
    <w:rsid w:val="00AE183E"/>
    <w:pPr>
      <w:ind w:left="720"/>
      <w:contextualSpacing/>
    </w:pPr>
  </w:style>
  <w:style w:type="character" w:styleId="nfasisintenso">
    <w:name w:val="Intense Emphasis"/>
    <w:basedOn w:val="Fuentedeprrafopredeter"/>
    <w:uiPriority w:val="21"/>
    <w:qFormat/>
    <w:rsid w:val="00AE183E"/>
    <w:rPr>
      <w:i/>
      <w:iCs/>
      <w:color w:val="2F5496" w:themeColor="accent1" w:themeShade="BF"/>
    </w:rPr>
  </w:style>
  <w:style w:type="paragraph" w:styleId="Citadestacada">
    <w:name w:val="Intense Quote"/>
    <w:basedOn w:val="Normal"/>
    <w:next w:val="Normal"/>
    <w:link w:val="CitadestacadaCar"/>
    <w:uiPriority w:val="30"/>
    <w:qFormat/>
    <w:rsid w:val="00AE1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E183E"/>
    <w:rPr>
      <w:i/>
      <w:iCs/>
      <w:color w:val="2F5496" w:themeColor="accent1" w:themeShade="BF"/>
    </w:rPr>
  </w:style>
  <w:style w:type="character" w:styleId="Referenciaintensa">
    <w:name w:val="Intense Reference"/>
    <w:basedOn w:val="Fuentedeprrafopredeter"/>
    <w:uiPriority w:val="32"/>
    <w:qFormat/>
    <w:rsid w:val="00AE183E"/>
    <w:rPr>
      <w:b/>
      <w:bCs/>
      <w:smallCaps/>
      <w:color w:val="2F5496" w:themeColor="accent1" w:themeShade="BF"/>
      <w:spacing w:val="5"/>
    </w:rPr>
  </w:style>
  <w:style w:type="character" w:styleId="Hipervnculo">
    <w:name w:val="Hyperlink"/>
    <w:basedOn w:val="Fuentedeprrafopredeter"/>
    <w:uiPriority w:val="99"/>
    <w:unhideWhenUsed/>
    <w:rsid w:val="00AE183E"/>
    <w:rPr>
      <w:color w:val="0563C1" w:themeColor="hyperlink"/>
      <w:u w:val="single"/>
    </w:rPr>
  </w:style>
  <w:style w:type="character" w:styleId="Mencinsinresolver">
    <w:name w:val="Unresolved Mention"/>
    <w:basedOn w:val="Fuentedeprrafopredeter"/>
    <w:uiPriority w:val="99"/>
    <w:semiHidden/>
    <w:unhideWhenUsed/>
    <w:rsid w:val="00AE1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11509">
      <w:bodyDiv w:val="1"/>
      <w:marLeft w:val="0"/>
      <w:marRight w:val="0"/>
      <w:marTop w:val="0"/>
      <w:marBottom w:val="0"/>
      <w:divBdr>
        <w:top w:val="none" w:sz="0" w:space="0" w:color="auto"/>
        <w:left w:val="none" w:sz="0" w:space="0" w:color="auto"/>
        <w:bottom w:val="none" w:sz="0" w:space="0" w:color="auto"/>
        <w:right w:val="none" w:sz="0" w:space="0" w:color="auto"/>
      </w:divBdr>
    </w:div>
    <w:div w:id="94234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coming@turar.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897</Words>
  <Characters>4939</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NancyB</dc:creator>
  <cp:keywords/>
  <dc:description/>
  <cp:lastModifiedBy>NancyB</cp:lastModifiedBy>
  <cp:revision>1</cp:revision>
  <dcterms:created xsi:type="dcterms:W3CDTF">2025-10-14T12:57:00Z</dcterms:created>
  <dcterms:modified xsi:type="dcterms:W3CDTF">2025-10-14T13:01:00Z</dcterms:modified>
</cp:coreProperties>
</file>